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rFonts w:hint="eastAsia" w:ascii="微软雅黑" w:hAnsi="微软雅黑" w:eastAsia="微软雅黑" w:cs="微软雅黑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rFonts w:hint="eastAsia" w:ascii="微软雅黑" w:hAnsi="微软雅黑" w:eastAsia="微软雅黑" w:cs="微软雅黑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rFonts w:hint="eastAsia" w:ascii="微软雅黑" w:hAnsi="微软雅黑" w:eastAsia="微软雅黑" w:cs="微软雅黑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rFonts w:hint="eastAsia" w:ascii="微软雅黑" w:hAnsi="微软雅黑" w:eastAsia="微软雅黑" w:cs="微软雅黑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rFonts w:hint="eastAsia" w:ascii="微软雅黑" w:hAnsi="微软雅黑" w:eastAsia="微软雅黑" w:cs="微软雅黑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rFonts w:hint="eastAsia" w:ascii="微软雅黑" w:hAnsi="微软雅黑" w:eastAsia="微软雅黑" w:cs="微软雅黑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rFonts w:hint="eastAsia" w:ascii="微软雅黑" w:hAnsi="微软雅黑" w:eastAsia="微软雅黑" w:cs="微软雅黑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rFonts w:hint="eastAsia" w:ascii="微软雅黑" w:hAnsi="微软雅黑" w:eastAsia="微软雅黑" w:cs="微软雅黑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rFonts w:hint="eastAsia" w:ascii="微软雅黑" w:hAnsi="微软雅黑" w:eastAsia="微软雅黑" w:cs="微软雅黑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rFonts w:hint="eastAsia" w:ascii="微软雅黑" w:hAnsi="微软雅黑" w:eastAsia="微软雅黑" w:cs="微软雅黑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sz w:val="44"/>
        </w:rPr>
      </w:pPr>
      <w:r>
        <w:rPr>
          <w:rFonts w:hint="eastAsia" w:ascii="微软雅黑" w:hAnsi="微软雅黑" w:eastAsia="微软雅黑" w:cs="微软雅黑"/>
          <w:b w:val="0"/>
          <w:bCs w:val="0"/>
          <w:sz w:val="44"/>
        </w:rPr>
        <w:t>第</w:t>
      </w:r>
      <w:r>
        <w:rPr>
          <w:rFonts w:hint="eastAsia" w:ascii="微软雅黑" w:hAnsi="微软雅黑" w:eastAsia="微软雅黑" w:cs="微软雅黑"/>
          <w:b w:val="0"/>
          <w:bCs w:val="0"/>
          <w:sz w:val="44"/>
          <w:lang w:eastAsia="zh-CN"/>
        </w:rPr>
        <w:t>九</w:t>
      </w:r>
      <w:r>
        <w:rPr>
          <w:rFonts w:hint="eastAsia" w:ascii="微软雅黑" w:hAnsi="微软雅黑" w:eastAsia="微软雅黑" w:cs="微软雅黑"/>
          <w:b w:val="0"/>
          <w:bCs w:val="0"/>
          <w:sz w:val="44"/>
        </w:rPr>
        <w:t>届河南省大学生机器人竞赛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sz w:val="36"/>
          <w:szCs w:val="22"/>
        </w:rPr>
      </w:pPr>
      <w:r>
        <w:rPr>
          <w:rFonts w:hint="eastAsia" w:ascii="微软雅黑" w:hAnsi="微软雅黑" w:eastAsia="微软雅黑" w:cs="微软雅黑"/>
          <w:b w:val="0"/>
          <w:bCs w:val="0"/>
          <w:sz w:val="36"/>
          <w:szCs w:val="22"/>
          <w:lang w:eastAsia="zh-CN"/>
        </w:rPr>
        <w:t>机器人舞蹈</w:t>
      </w:r>
      <w:r>
        <w:rPr>
          <w:rFonts w:hint="eastAsia" w:ascii="微软雅黑" w:hAnsi="微软雅黑" w:eastAsia="微软雅黑" w:cs="微软雅黑"/>
          <w:b w:val="0"/>
          <w:bCs w:val="0"/>
          <w:sz w:val="36"/>
          <w:szCs w:val="22"/>
        </w:rPr>
        <w:t>赛</w:t>
      </w:r>
      <w:r>
        <w:rPr>
          <w:rFonts w:hint="eastAsia" w:ascii="微软雅黑" w:hAnsi="微软雅黑" w:eastAsia="微软雅黑" w:cs="微软雅黑"/>
          <w:b w:val="0"/>
          <w:bCs w:val="0"/>
          <w:sz w:val="36"/>
          <w:szCs w:val="22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b w:val="0"/>
          <w:bCs w:val="0"/>
          <w:sz w:val="36"/>
          <w:szCs w:val="22"/>
        </w:rPr>
        <w:t>单人</w:t>
      </w:r>
      <w:r>
        <w:rPr>
          <w:rFonts w:hint="eastAsia" w:ascii="微软雅黑" w:hAnsi="微软雅黑" w:eastAsia="微软雅黑" w:cs="微软雅黑"/>
          <w:b w:val="0"/>
          <w:bCs w:val="0"/>
          <w:sz w:val="36"/>
          <w:szCs w:val="22"/>
          <w:lang w:eastAsia="zh-CN"/>
        </w:rPr>
        <w:t>舞赛</w:t>
      </w: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bCs w:val="0"/>
          <w:sz w:val="36"/>
          <w:szCs w:val="22"/>
        </w:rPr>
        <w:t>规则</w:t>
      </w:r>
    </w:p>
    <w:p>
      <w:pPr>
        <w:pStyle w:val="2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spacing w:line="360" w:lineRule="auto"/>
        <w:rPr>
          <w:rFonts w:hint="eastAsia" w:ascii="微软雅黑" w:hAnsi="微软雅黑" w:eastAsia="微软雅黑" w:cs="微软雅黑"/>
        </w:rPr>
      </w:pPr>
    </w:p>
    <w:p>
      <w:pPr>
        <w:rPr>
          <w:rFonts w:hint="eastAsia" w:ascii="微软雅黑" w:hAnsi="微软雅黑" w:eastAsia="微软雅黑" w:cs="微软雅黑"/>
          <w:b/>
          <w:bCs/>
          <w:sz w:val="36"/>
        </w:rPr>
      </w:pPr>
      <w:r>
        <w:rPr>
          <w:rFonts w:hint="eastAsia" w:ascii="微软雅黑" w:hAnsi="微软雅黑" w:eastAsia="微软雅黑" w:cs="微软雅黑"/>
          <w:b/>
          <w:bCs/>
          <w:sz w:val="36"/>
        </w:rPr>
        <w:br w:type="page"/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360" w:lineRule="auto"/>
        <w:ind w:right="0" w:rightChars="0"/>
        <w:jc w:val="both"/>
        <w:textAlignment w:val="baseline"/>
        <w:outlineLvl w:val="0"/>
        <w:rPr>
          <w:rFonts w:hint="eastAsia" w:ascii="微软雅黑" w:hAnsi="微软雅黑" w:eastAsia="微软雅黑" w:cs="微软雅黑"/>
          <w:b/>
          <w:bCs/>
          <w:snapToGrid w:val="0"/>
          <w:color w:val="000000"/>
          <w:spacing w:val="-2"/>
          <w:kern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napToGrid w:val="0"/>
          <w:color w:val="000000"/>
          <w:spacing w:val="-2"/>
          <w:kern w:val="0"/>
          <w:sz w:val="28"/>
          <w:szCs w:val="28"/>
          <w:lang w:val="en-US" w:eastAsia="zh-CN"/>
        </w:rPr>
        <w:t>一、比赛任务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rightChars="0" w:firstLine="480" w:firstLineChars="200"/>
        <w:jc w:val="both"/>
        <w:textAlignment w:val="baseline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  <w:t>机器人在自选歌曲下完成一套机器人舞蹈。时间不超过4分钟，开场白、解说等计算在内，连续舞蹈两分三十秒以内但一般不少于2分钟。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360" w:lineRule="auto"/>
        <w:ind w:right="0" w:rightChars="0"/>
        <w:jc w:val="both"/>
        <w:textAlignment w:val="baseline"/>
        <w:outlineLvl w:val="0"/>
        <w:rPr>
          <w:rFonts w:hint="eastAsia" w:ascii="微软雅黑" w:hAnsi="微软雅黑" w:eastAsia="微软雅黑" w:cs="微软雅黑"/>
          <w:b/>
          <w:bCs/>
          <w:snapToGrid w:val="0"/>
          <w:color w:val="000000"/>
          <w:spacing w:val="-2"/>
          <w:kern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napToGrid w:val="0"/>
          <w:color w:val="000000"/>
          <w:spacing w:val="-2"/>
          <w:kern w:val="0"/>
          <w:sz w:val="28"/>
          <w:szCs w:val="28"/>
          <w:lang w:val="en-US" w:eastAsia="zh-CN"/>
        </w:rPr>
        <w:t>二、比赛要求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rightChars="0" w:firstLine="480" w:firstLineChars="200"/>
        <w:jc w:val="both"/>
        <w:textAlignment w:val="baseline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  <w:t>1.参赛选手必须是2023年度高等院校全日制在籍学生，不限性别，年龄须不超过30周岁，年龄计算的截止时间以比赛当年的6月1日为准。参赛团队由高等院校为单位组队参赛，不得跨校组队；指导教师须为本校专兼职教师。每个参赛团队最多5人（3名队员和2名指导老师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rightChars="0" w:firstLine="480" w:firstLineChars="200"/>
        <w:jc w:val="both"/>
        <w:textAlignment w:val="baseline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  <w:t>2.机器人由手动或遥控启动，机器人与音乐协调由各队参赛人员自主掌控，在规定时间内配合舞蹈音乐完成一套完整的机器人舞蹈。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rightChars="0" w:firstLine="480" w:firstLineChars="200"/>
        <w:jc w:val="both"/>
        <w:textAlignment w:val="baseline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  <w:t>3.在机器人启动后的表演过程中，机器人不应与参赛队员有任何接触（包括遥控），一经发现将取消该队比赛成绩。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rightChars="0" w:firstLine="480" w:firstLineChars="200"/>
        <w:jc w:val="both"/>
        <w:textAlignment w:val="baseline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  <w:t>4.比赛过程中，机器人出现故障时可由一名队员上前处理或重新启动机器人，并累计计算时间，但将对该队成绩给予扣分。 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rightChars="0" w:firstLine="480" w:firstLineChars="200"/>
        <w:jc w:val="both"/>
        <w:textAlignment w:val="baseline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  <w:t>5.同一个参赛学院的机器人队伍中，不得出现机器人机构功能、主题或动作完全相同的两支队伍同时参加比赛，否则只记一组成绩有效。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rightChars="0" w:firstLine="480" w:firstLineChars="200"/>
        <w:jc w:val="both"/>
        <w:textAlignment w:val="baseline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  <w:t>6.机器人要求：仿人机器人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 w:firstLineChars="0"/>
        <w:jc w:val="center"/>
        <w:textAlignment w:val="center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lang w:eastAsia="zh-CN"/>
        </w:rPr>
        <w:drawing>
          <wp:inline distT="0" distB="0" distL="114300" distR="114300">
            <wp:extent cx="1753235" cy="2232025"/>
            <wp:effectExtent l="0" t="0" r="18415" b="15875"/>
            <wp:docPr id="1" name="图片 1" descr="f18209ef9040d4e75c514ee5fc01a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8209ef9040d4e75c514ee5fc01ae2"/>
                    <pic:cNvPicPr>
                      <a:picLocks noChangeAspect="1"/>
                    </pic:cNvPicPr>
                  </pic:nvPicPr>
                  <pic:blipFill>
                    <a:blip r:embed="rId7"/>
                    <a:srcRect b="30162"/>
                    <a:stretch>
                      <a:fillRect/>
                    </a:stretch>
                  </pic:blipFill>
                  <pic:spPr>
                    <a:xfrm>
                      <a:off x="0" y="0"/>
                      <a:ext cx="1753235" cy="223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lang w:eastAsia="zh-CN"/>
        </w:rPr>
        <w:drawing>
          <wp:inline distT="0" distB="0" distL="114300" distR="114300">
            <wp:extent cx="3064510" cy="1906270"/>
            <wp:effectExtent l="0" t="0" r="2540" b="17780"/>
            <wp:docPr id="2" name="图片 2" descr="f18209ef9040d4e75c514ee5fc01a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18209ef9040d4e75c514ee5fc01ae2"/>
                    <pic:cNvPicPr>
                      <a:picLocks noChangeAspect="1"/>
                    </pic:cNvPicPr>
                  </pic:nvPicPr>
                  <pic:blipFill>
                    <a:blip r:embed="rId7"/>
                    <a:srcRect t="69296"/>
                    <a:stretch>
                      <a:fillRect/>
                    </a:stretch>
                  </pic:blipFill>
                  <pic:spPr>
                    <a:xfrm>
                      <a:off x="0" y="0"/>
                      <a:ext cx="3064510" cy="1906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 w:firstLineChars="0"/>
        <w:jc w:val="center"/>
        <w:textAlignment w:val="auto"/>
        <w:rPr>
          <w:rFonts w:hint="eastAsia" w:ascii="微软雅黑" w:hAnsi="微软雅黑" w:eastAsia="微软雅黑" w:cs="微软雅黑"/>
          <w:b/>
          <w:bCs/>
          <w:spacing w:val="-6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pacing w:val="-6"/>
          <w:sz w:val="21"/>
          <w:szCs w:val="21"/>
        </w:rPr>
        <w:t>（参赛设备示意图）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jc w:val="left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  <w:t>（1）机器人构造：参赛机器人可以是参赛队自主设计和手工制作的机器人，也可以是参赛队购买套件组装调试的机器人。即允许这两种情况的机器人同场比赛。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rightChars="0" w:firstLine="480" w:firstLineChars="200"/>
        <w:jc w:val="both"/>
        <w:textAlignment w:val="baseline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  <w:t>（2）外形装饰：可自主设计服饰等，风格、材质不限，但不得影响比赛舞蹈动作。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rightChars="0" w:firstLine="480" w:firstLineChars="200"/>
        <w:jc w:val="both"/>
        <w:textAlignment w:val="baseline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  <w:t>（3）控制：机器人比赛过程中全部舞蹈动作必须完全自主进行，启动可由参赛队员手动或遥控完成。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rightChars="0" w:firstLine="480" w:firstLineChars="200"/>
        <w:jc w:val="both"/>
        <w:textAlignment w:val="baseline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  <w:t>7.比赛场地无特殊要求，光滑平整即可。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rightChars="0"/>
        <w:jc w:val="both"/>
        <w:textAlignment w:val="auto"/>
        <w:outlineLvl w:val="0"/>
        <w:rPr>
          <w:rFonts w:hint="eastAsia" w:ascii="微软雅黑" w:hAnsi="微软雅黑" w:eastAsia="微软雅黑" w:cs="微软雅黑"/>
          <w:b/>
          <w:bCs/>
          <w:spacing w:val="-2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-2"/>
          <w:sz w:val="28"/>
          <w:szCs w:val="28"/>
          <w:lang w:val="en-US" w:eastAsia="zh-CN"/>
        </w:rPr>
        <w:t>三、评分规则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rightChars="0" w:firstLine="480" w:firstLineChars="200"/>
        <w:jc w:val="both"/>
        <w:textAlignment w:val="baseline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  <w:t>1.若开场解说，播放音乐由机器人完成，可加分（最多10分）。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rightChars="0" w:firstLine="480" w:firstLineChars="200"/>
        <w:jc w:val="both"/>
        <w:textAlignment w:val="baseline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  <w:t>2.根据舞蹈总体设计、舞蹈动作或者其他方面是否新颖有创意酌情打分（最多10分）。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rightChars="0" w:firstLine="480" w:firstLineChars="200"/>
        <w:jc w:val="both"/>
        <w:textAlignment w:val="baseline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  <w:t>3.根据机器人在自定的音乐伴奏条件下，所完成指定的四种基本动作（双臂动作、双腿动作、腰部动作、臂腿协调动作）酌情打分（最多30分），机器人需要拥有17个自由度（17个舵机）大于或者小于17个则扣10分。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rightChars="0" w:firstLine="480" w:firstLineChars="200"/>
        <w:jc w:val="both"/>
        <w:textAlignment w:val="baseline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  <w:t>4.根据机器人所完成动作与音乐配合度、动作难度、协调程度等（如臂、腿、腰三个协调动作）酌情打分（最多30分）。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rightChars="0" w:firstLine="480" w:firstLineChars="200"/>
        <w:jc w:val="both"/>
        <w:textAlignment w:val="baseline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  <w:t>5.参赛队伍需根据所选舞蹈音乐为机器人配备舞蹈服装。评委将根据整体形象进行打分（最多10分）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rightChars="0" w:firstLine="480" w:firstLineChars="200"/>
        <w:jc w:val="both"/>
        <w:textAlignment w:val="baseline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  <w:t>6.参赛队伍若有舞美设计，可加分（最多10分）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rightChars="0" w:firstLine="480" w:firstLineChars="200"/>
        <w:jc w:val="both"/>
        <w:textAlignment w:val="baseline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  <w:t>7.如果比赛过程中机器人倒下（不含舞蹈特地设计的倒下）而人为用手扶起，则每次扣掉10分（累积不超过40分）。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rightChars="0" w:firstLine="480" w:firstLineChars="200"/>
        <w:jc w:val="both"/>
        <w:textAlignment w:val="baseline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  <w:t>8.机器人需要采用红外通讯方式进行控制，需要有陀螺仪功能（机器人摔倒了可以起来）若不满足，则扣10分。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rightChars="0"/>
        <w:jc w:val="both"/>
        <w:textAlignment w:val="baseline"/>
        <w:outlineLvl w:val="0"/>
        <w:rPr>
          <w:rFonts w:hint="eastAsia" w:ascii="微软雅黑" w:hAnsi="微软雅黑" w:eastAsia="微软雅黑" w:cs="微软雅黑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  <w:lang w:val="en-US" w:eastAsia="zh-CN"/>
        </w:rPr>
        <w:t>四</w:t>
      </w:r>
      <w:r>
        <w:rPr>
          <w:rFonts w:hint="eastAsia" w:ascii="微软雅黑" w:hAnsi="微软雅黑" w:eastAsia="微软雅黑" w:cs="微软雅黑"/>
          <w:b/>
          <w:bCs/>
          <w:color w:val="auto"/>
          <w:sz w:val="28"/>
          <w:szCs w:val="28"/>
          <w:lang w:val="en-US" w:eastAsia="zh-CN"/>
        </w:rPr>
        <w:t>、申诉与仲裁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2" w:firstLineChars="200"/>
        <w:jc w:val="both"/>
        <w:textAlignment w:val="baseline"/>
        <w:rPr>
          <w:rFonts w:hint="eastAsia" w:ascii="微软雅黑" w:hAnsi="微软雅黑" w:eastAsia="微软雅黑" w:cs="微软雅黑"/>
          <w:spacing w:val="-2"/>
          <w:sz w:val="24"/>
          <w:szCs w:val="24"/>
        </w:rPr>
      </w:pPr>
      <w:r>
        <w:rPr>
          <w:rFonts w:hint="eastAsia" w:ascii="微软雅黑" w:hAnsi="微软雅黑" w:eastAsia="微软雅黑" w:cs="微软雅黑"/>
          <w:spacing w:val="-2"/>
          <w:sz w:val="24"/>
          <w:szCs w:val="24"/>
          <w:lang w:val="en-US" w:eastAsia="zh-CN"/>
        </w:rPr>
        <w:t>1.</w:t>
      </w:r>
      <w:r>
        <w:rPr>
          <w:rFonts w:hint="eastAsia" w:ascii="微软雅黑" w:hAnsi="微软雅黑" w:eastAsia="微软雅黑" w:cs="微软雅黑"/>
          <w:spacing w:val="-2"/>
          <w:sz w:val="24"/>
          <w:szCs w:val="24"/>
        </w:rPr>
        <w:t>各参赛队对不符合大赛和赛项规程规定的仪器、设备、工装、材料、物件、计算机软硬件、竞赛使用工具、用品，竞赛执裁、赛场管理、竞赛成绩等，可向赛项仲裁组提出申诉。申诉主体为参赛队领队。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rightChars="0" w:firstLine="472" w:firstLineChars="200"/>
        <w:jc w:val="both"/>
        <w:textAlignment w:val="baseline"/>
        <w:rPr>
          <w:rFonts w:hint="eastAsia" w:ascii="微软雅黑" w:hAnsi="微软雅黑" w:eastAsia="微软雅黑" w:cs="微软雅黑"/>
          <w:spacing w:val="-2"/>
          <w:sz w:val="24"/>
          <w:szCs w:val="24"/>
        </w:rPr>
      </w:pPr>
      <w:r>
        <w:rPr>
          <w:rFonts w:hint="eastAsia" w:ascii="微软雅黑" w:hAnsi="微软雅黑" w:eastAsia="微软雅黑" w:cs="微软雅黑"/>
          <w:spacing w:val="-2"/>
          <w:sz w:val="24"/>
          <w:szCs w:val="24"/>
          <w:lang w:val="en-US" w:eastAsia="zh-CN"/>
        </w:rPr>
        <w:t>2.</w:t>
      </w:r>
      <w:r>
        <w:rPr>
          <w:rFonts w:hint="eastAsia" w:ascii="微软雅黑" w:hAnsi="微软雅黑" w:eastAsia="微软雅黑" w:cs="微软雅黑"/>
          <w:spacing w:val="-2"/>
          <w:sz w:val="24"/>
          <w:szCs w:val="24"/>
        </w:rPr>
        <w:t>仲裁人员的姓名、联系方式应该在竞赛期间向参赛队和工作人员公示</w:t>
      </w:r>
      <w:r>
        <w:rPr>
          <w:rFonts w:hint="eastAsia" w:ascii="微软雅黑" w:hAnsi="微软雅黑" w:eastAsia="微软雅黑" w:cs="微软雅黑"/>
          <w:spacing w:val="-2"/>
          <w:sz w:val="24"/>
          <w:szCs w:val="24"/>
          <w:lang w:eastAsia="zh-CN"/>
        </w:rPr>
        <w:t>，</w:t>
      </w:r>
      <w:r>
        <w:rPr>
          <w:rFonts w:hint="eastAsia" w:ascii="微软雅黑" w:hAnsi="微软雅黑" w:eastAsia="微软雅黑" w:cs="微软雅黑"/>
          <w:spacing w:val="-2"/>
          <w:sz w:val="24"/>
          <w:szCs w:val="24"/>
        </w:rPr>
        <w:t>确保信息畅通并同时接受大众监督。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2" w:firstLineChars="200"/>
        <w:jc w:val="both"/>
        <w:textAlignment w:val="baseline"/>
        <w:rPr>
          <w:rFonts w:hint="eastAsia" w:ascii="微软雅黑" w:hAnsi="微软雅黑" w:eastAsia="微软雅黑" w:cs="微软雅黑"/>
          <w:spacing w:val="-2"/>
          <w:sz w:val="24"/>
          <w:szCs w:val="24"/>
        </w:rPr>
      </w:pPr>
      <w:r>
        <w:rPr>
          <w:rFonts w:hint="eastAsia" w:ascii="微软雅黑" w:hAnsi="微软雅黑" w:eastAsia="微软雅黑" w:cs="微软雅黑"/>
          <w:spacing w:val="-2"/>
          <w:sz w:val="24"/>
          <w:szCs w:val="24"/>
          <w:lang w:val="en-US" w:eastAsia="zh-CN"/>
        </w:rPr>
        <w:t>3.</w:t>
      </w:r>
      <w:r>
        <w:rPr>
          <w:rFonts w:hint="eastAsia" w:ascii="微软雅黑" w:hAnsi="微软雅黑" w:eastAsia="微软雅黑" w:cs="微软雅黑"/>
          <w:spacing w:val="-2"/>
          <w:sz w:val="24"/>
          <w:szCs w:val="24"/>
        </w:rPr>
        <w:t>申诉启动时，参赛队向赛项仲裁工作组递交领队亲笔签字同意的书面报告。书面报告应对申诉事件的现象、发生时间、涉及人员、申诉依据等</w:t>
      </w:r>
      <w:r>
        <w:rPr>
          <w:rFonts w:hint="eastAsia" w:ascii="微软雅黑" w:hAnsi="微软雅黑" w:eastAsia="微软雅黑" w:cs="微软雅黑"/>
          <w:spacing w:val="-2"/>
          <w:sz w:val="24"/>
          <w:szCs w:val="24"/>
          <w:lang w:val="en-US" w:eastAsia="zh-CN"/>
        </w:rPr>
        <w:t>进行</w:t>
      </w:r>
      <w:r>
        <w:rPr>
          <w:rFonts w:hint="eastAsia" w:ascii="微软雅黑" w:hAnsi="微软雅黑" w:eastAsia="微软雅黑" w:cs="微软雅黑"/>
          <w:spacing w:val="-2"/>
          <w:sz w:val="24"/>
          <w:szCs w:val="24"/>
        </w:rPr>
        <w:t>充分、实事求是的叙述。非书面申诉不予受理。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2" w:firstLineChars="200"/>
        <w:jc w:val="both"/>
        <w:textAlignment w:val="baseline"/>
        <w:rPr>
          <w:rFonts w:hint="eastAsia" w:ascii="微软雅黑" w:hAnsi="微软雅黑" w:eastAsia="微软雅黑" w:cs="微软雅黑"/>
          <w:spacing w:val="-2"/>
          <w:sz w:val="24"/>
          <w:szCs w:val="24"/>
        </w:rPr>
      </w:pPr>
      <w:r>
        <w:rPr>
          <w:rFonts w:hint="eastAsia" w:ascii="微软雅黑" w:hAnsi="微软雅黑" w:eastAsia="微软雅黑" w:cs="微软雅黑"/>
          <w:spacing w:val="-2"/>
          <w:sz w:val="24"/>
          <w:szCs w:val="24"/>
          <w:lang w:val="en-US" w:eastAsia="zh-CN"/>
        </w:rPr>
        <w:t>4.</w:t>
      </w:r>
      <w:r>
        <w:rPr>
          <w:rFonts w:hint="eastAsia" w:ascii="微软雅黑" w:hAnsi="微软雅黑" w:eastAsia="微软雅黑" w:cs="微软雅黑"/>
          <w:spacing w:val="-2"/>
          <w:sz w:val="24"/>
          <w:szCs w:val="24"/>
        </w:rPr>
        <w:t>提出申诉的时间应在比赛结束后（比赛</w:t>
      </w:r>
      <w:r>
        <w:rPr>
          <w:rFonts w:hint="eastAsia" w:ascii="微软雅黑" w:hAnsi="微软雅黑" w:eastAsia="微软雅黑" w:cs="微软雅黑"/>
          <w:spacing w:val="-2"/>
          <w:sz w:val="24"/>
          <w:szCs w:val="24"/>
          <w:lang w:val="en-US" w:eastAsia="zh-CN"/>
        </w:rPr>
        <w:t>流程</w:t>
      </w:r>
      <w:r>
        <w:rPr>
          <w:rFonts w:hint="eastAsia" w:ascii="微软雅黑" w:hAnsi="微软雅黑" w:eastAsia="微软雅黑" w:cs="微软雅黑"/>
          <w:spacing w:val="-2"/>
          <w:sz w:val="24"/>
          <w:szCs w:val="24"/>
        </w:rPr>
        <w:t>全部完成）2小时内。超过时效不予受理。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2" w:firstLineChars="200"/>
        <w:jc w:val="both"/>
        <w:textAlignment w:val="baseline"/>
        <w:rPr>
          <w:rFonts w:hint="eastAsia" w:ascii="微软雅黑" w:hAnsi="微软雅黑" w:eastAsia="微软雅黑" w:cs="微软雅黑"/>
          <w:spacing w:val="-2"/>
          <w:sz w:val="24"/>
          <w:szCs w:val="24"/>
        </w:rPr>
      </w:pPr>
      <w:r>
        <w:rPr>
          <w:rFonts w:hint="eastAsia" w:ascii="微软雅黑" w:hAnsi="微软雅黑" w:eastAsia="微软雅黑" w:cs="微软雅黑"/>
          <w:spacing w:val="-2"/>
          <w:sz w:val="24"/>
          <w:szCs w:val="24"/>
          <w:lang w:val="en-US" w:eastAsia="zh-CN"/>
        </w:rPr>
        <w:t>5.</w:t>
      </w:r>
      <w:r>
        <w:rPr>
          <w:rFonts w:hint="eastAsia" w:ascii="微软雅黑" w:hAnsi="微软雅黑" w:eastAsia="微软雅黑" w:cs="微软雅黑"/>
          <w:spacing w:val="-2"/>
          <w:sz w:val="24"/>
          <w:szCs w:val="24"/>
        </w:rPr>
        <w:t>赛项仲裁工作组在接到申诉报告后的2小时内组织复议，并及时将复议结果以书面形式告知申诉方。申诉方对复议结果仍有异议，可由领队向组委会提出申诉。组委会的判定结果为最终结果。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2" w:firstLineChars="200"/>
        <w:jc w:val="both"/>
        <w:textAlignment w:val="baseline"/>
        <w:rPr>
          <w:rFonts w:hint="eastAsia" w:ascii="微软雅黑" w:hAnsi="微软雅黑" w:eastAsia="微软雅黑" w:cs="微软雅黑"/>
          <w:spacing w:val="-2"/>
          <w:sz w:val="24"/>
          <w:szCs w:val="24"/>
        </w:rPr>
      </w:pPr>
      <w:r>
        <w:rPr>
          <w:rFonts w:hint="eastAsia" w:ascii="微软雅黑" w:hAnsi="微软雅黑" w:eastAsia="微软雅黑" w:cs="微软雅黑"/>
          <w:spacing w:val="-2"/>
          <w:sz w:val="24"/>
          <w:szCs w:val="24"/>
          <w:lang w:val="en-US" w:eastAsia="zh-CN"/>
        </w:rPr>
        <w:t>6.</w:t>
      </w:r>
      <w:r>
        <w:rPr>
          <w:rFonts w:hint="eastAsia" w:ascii="微软雅黑" w:hAnsi="微软雅黑" w:eastAsia="微软雅黑" w:cs="微软雅黑"/>
          <w:spacing w:val="-2"/>
          <w:sz w:val="24"/>
          <w:szCs w:val="24"/>
        </w:rPr>
        <w:t>申诉方不得以任何理由拒绝接收仲裁结果。仲裁结果由申诉人签收，不能代收，如在约定时间和地点申诉人离开，视为自行放弃申诉。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2" w:firstLineChars="200"/>
        <w:jc w:val="both"/>
        <w:textAlignment w:val="baseline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pacing w:val="-2"/>
          <w:sz w:val="24"/>
          <w:szCs w:val="24"/>
          <w:lang w:val="en-US" w:eastAsia="zh-CN"/>
        </w:rPr>
        <w:t>7.</w:t>
      </w:r>
      <w:r>
        <w:rPr>
          <w:rFonts w:hint="eastAsia" w:ascii="微软雅黑" w:hAnsi="微软雅黑" w:eastAsia="微软雅黑" w:cs="微软雅黑"/>
          <w:spacing w:val="-2"/>
          <w:sz w:val="24"/>
          <w:szCs w:val="24"/>
        </w:rPr>
        <w:t>申诉方可随时提出放弃申诉。</w:t>
      </w:r>
    </w:p>
    <w:sectPr>
      <w:footerReference r:id="rId5" w:type="default"/>
      <w:pgSz w:w="11910" w:h="16840"/>
      <w:pgMar w:top="1440" w:right="1080" w:bottom="1440" w:left="1080" w:header="1020" w:footer="1020" w:gutter="0"/>
      <w:pgNumType w:fmt="decimal" w:start="1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docVars>
    <w:docVar w:name="commondata" w:val="eyJoZGlkIjoiYTgzN2Y3ZDg4NDNjY2RjMmRhNDkxMWUwMWVhYWFiZjEifQ=="/>
  </w:docVars>
  <w:rsids>
    <w:rsidRoot w:val="00000000"/>
    <w:rsid w:val="10C85AC8"/>
    <w:rsid w:val="134665D8"/>
    <w:rsid w:val="193C50B4"/>
    <w:rsid w:val="1CD37AD5"/>
    <w:rsid w:val="278E78F7"/>
    <w:rsid w:val="3BAF331A"/>
    <w:rsid w:val="4CB85948"/>
    <w:rsid w:val="534B54DF"/>
    <w:rsid w:val="5C1911B6"/>
    <w:rsid w:val="66B549DF"/>
    <w:rsid w:val="755E2E65"/>
    <w:rsid w:val="760A11E0"/>
    <w:rsid w:val="76F23F6D"/>
    <w:rsid w:val="788F3C1F"/>
    <w:rsid w:val="78B558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等线" w:hAnsi="等线" w:eastAsia="等线" w:cs="等线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qFormat/>
    <w:uiPriority w:val="1"/>
    <w:pPr>
      <w:spacing w:before="24"/>
      <w:ind w:left="120"/>
      <w:outlineLvl w:val="1"/>
    </w:pPr>
    <w:rPr>
      <w:rFonts w:ascii="等线" w:hAnsi="等线" w:eastAsia="等线" w:cs="等线"/>
      <w:b/>
      <w:bCs/>
      <w:sz w:val="28"/>
      <w:szCs w:val="28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等线" w:hAnsi="等线" w:eastAsia="等线" w:cs="等线"/>
      <w:sz w:val="21"/>
      <w:szCs w:val="21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120"/>
    </w:pPr>
    <w:rPr>
      <w:rFonts w:ascii="等线" w:hAnsi="等线" w:eastAsia="等线" w:cs="等线"/>
      <w:lang w:val="zh-CN" w:eastAsia="zh-CN" w:bidi="zh-CN"/>
    </w:rPr>
  </w:style>
  <w:style w:type="paragraph" w:customStyle="1" w:styleId="10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1448</Words>
  <Characters>1487</Characters>
  <TotalTime>15</TotalTime>
  <ScaleCrop>false</ScaleCrop>
  <LinksUpToDate>false</LinksUpToDate>
  <CharactersWithSpaces>1487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2022-04-25T01:00:00Z</dcterms:created>
  <dc:creator>Administrator</dc:creator>
  <cp:lastModifiedBy>小杰</cp:lastModifiedBy>
  <dcterms:modified xsi:type="dcterms:W3CDTF">2023-10-11T07:34:55Z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2022-04-25T00:00:00Z</vt:filetime>
  </property>
  <property fmtid="{D5CDD505-2E9C-101B-9397-08002B2CF9AE}" pid="5" name="commondata">
    <vt:lpwstr>eyJoZGlkIjoiYjYyNTAwZDhmODE3NWFlYmFlYjk4Y2YwYjI1ODJmZjEifQ==</vt:lpwstr>
  </property>
  <property fmtid="{D5CDD505-2E9C-101B-9397-08002B2CF9AE}" pid="6" name="KSOProductBuildVer">
    <vt:lpwstr>2052-12.1.0.15374</vt:lpwstr>
  </property>
  <property fmtid="{D5CDD505-2E9C-101B-9397-08002B2CF9AE}" pid="7" name="ICV">
    <vt:lpwstr>296FC685F7624047B3AD206F00A0D578</vt:lpwstr>
  </property>
</Properties>
</file>