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bookmarkStart w:id="0" w:name="_Toc12371"/>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微软雅黑" w:hAnsi="微软雅黑" w:eastAsia="微软雅黑" w:cs="微软雅黑"/>
          <w:b/>
          <w:spacing w:val="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rFonts w:hint="eastAsia" w:ascii="微软雅黑" w:hAnsi="微软雅黑" w:eastAsia="微软雅黑" w:cs="微软雅黑"/>
          <w:b w:val="0"/>
          <w:bCs/>
          <w:spacing w:val="0"/>
          <w:sz w:val="44"/>
          <w:szCs w:val="44"/>
          <w:lang w:eastAsia="zh-CN"/>
        </w:rPr>
      </w:pPr>
      <w:r>
        <w:rPr>
          <w:rFonts w:hint="eastAsia" w:ascii="微软雅黑" w:hAnsi="微软雅黑" w:eastAsia="微软雅黑" w:cs="微软雅黑"/>
          <w:b w:val="0"/>
          <w:bCs/>
          <w:spacing w:val="0"/>
          <w:sz w:val="44"/>
          <w:szCs w:val="44"/>
          <w:lang w:eastAsia="zh-CN"/>
        </w:rPr>
        <w:t>第九届河南省大学生机器人竞赛</w:t>
      </w:r>
    </w:p>
    <w:p>
      <w:pPr>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rFonts w:hint="eastAsia" w:ascii="微软雅黑" w:hAnsi="微软雅黑" w:eastAsia="微软雅黑" w:cs="微软雅黑"/>
          <w:b w:val="0"/>
          <w:bCs/>
          <w:spacing w:val="0"/>
          <w:sz w:val="32"/>
          <w:szCs w:val="32"/>
          <w:lang w:eastAsia="zh-CN"/>
        </w:rPr>
      </w:pPr>
      <w:r>
        <w:rPr>
          <w:rFonts w:hint="eastAsia" w:ascii="微软雅黑" w:hAnsi="微软雅黑" w:eastAsia="微软雅黑" w:cs="微软雅黑"/>
          <w:b w:val="0"/>
          <w:bCs/>
          <w:spacing w:val="0"/>
          <w:sz w:val="32"/>
          <w:szCs w:val="32"/>
          <w:lang w:eastAsia="zh-CN"/>
        </w:rPr>
        <w:t>机器人专项赛：ROBOTAC速胜挑战赛（圣火采集）</w:t>
      </w:r>
      <w:bookmarkStart w:id="53" w:name="_GoBack"/>
      <w:bookmarkEnd w:id="53"/>
      <w:r>
        <w:rPr>
          <w:rFonts w:hint="eastAsia" w:ascii="微软雅黑" w:hAnsi="微软雅黑" w:eastAsia="微软雅黑" w:cs="微软雅黑"/>
          <w:b w:val="0"/>
          <w:bCs/>
          <w:spacing w:val="0"/>
          <w:sz w:val="32"/>
          <w:szCs w:val="32"/>
          <w:lang w:eastAsia="zh-CN"/>
        </w:rPr>
        <w:t xml:space="preserve"> </w:t>
      </w:r>
      <w:r>
        <w:rPr>
          <w:rFonts w:hint="eastAsia" w:ascii="微软雅黑" w:hAnsi="微软雅黑" w:eastAsia="微软雅黑" w:cs="微软雅黑"/>
          <w:b w:val="0"/>
          <w:bCs/>
          <w:spacing w:val="0"/>
          <w:sz w:val="32"/>
          <w:szCs w:val="32"/>
          <w:lang w:val="en-US" w:eastAsia="zh-CN"/>
        </w:rPr>
        <w:t xml:space="preserve"> </w:t>
      </w:r>
      <w:r>
        <w:rPr>
          <w:rFonts w:hint="eastAsia" w:ascii="微软雅黑" w:hAnsi="微软雅黑" w:eastAsia="微软雅黑" w:cs="微软雅黑"/>
          <w:b w:val="0"/>
          <w:bCs/>
          <w:spacing w:val="0"/>
          <w:sz w:val="32"/>
          <w:szCs w:val="32"/>
          <w:lang w:eastAsia="zh-CN"/>
        </w:rPr>
        <w:t>规则</w:t>
      </w:r>
    </w:p>
    <w:p>
      <w:pPr>
        <w:keepNext w:val="0"/>
        <w:keepLines w:val="0"/>
        <w:pageBreakBefore w:val="0"/>
        <w:widowControl w:val="0"/>
        <w:kinsoku/>
        <w:wordWrap/>
        <w:overflowPunct/>
        <w:topLinePunct w:val="0"/>
        <w:autoSpaceDE w:val="0"/>
        <w:autoSpaceDN w:val="0"/>
        <w:bidi w:val="0"/>
        <w:adjustRightInd/>
        <w:snapToGrid/>
        <w:spacing w:line="360" w:lineRule="auto"/>
        <w:ind w:left="0"/>
        <w:jc w:val="both"/>
        <w:textAlignment w:val="auto"/>
        <w:rPr>
          <w:rFonts w:hint="eastAsia" w:ascii="微软雅黑" w:hAnsi="微软雅黑" w:eastAsia="微软雅黑" w:cs="微软雅黑"/>
          <w:b/>
          <w:spacing w:val="0"/>
          <w:sz w:val="36"/>
          <w:szCs w:val="36"/>
          <w:lang w:eastAsia="zh-CN"/>
        </w:rPr>
      </w:pPr>
    </w:p>
    <w:p>
      <w:pPr>
        <w:pageBreakBefore w:val="0"/>
        <w:kinsoku/>
        <w:wordWrap/>
        <w:overflowPunct/>
        <w:topLinePunct w:val="0"/>
        <w:bidi w:val="0"/>
        <w:adjustRightInd/>
        <w:snapToGrid/>
        <w:spacing w:line="360" w:lineRule="auto"/>
        <w:ind w:left="0"/>
        <w:textAlignment w:val="auto"/>
        <w:rPr>
          <w:rFonts w:hint="eastAsia" w:ascii="微软雅黑" w:hAnsi="微软雅黑" w:eastAsia="微软雅黑" w:cs="微软雅黑"/>
          <w:b/>
          <w:spacing w:val="0"/>
          <w:sz w:val="30"/>
          <w:szCs w:val="30"/>
          <w:lang w:eastAsia="zh-CN"/>
        </w:rPr>
      </w:pPr>
      <w:r>
        <w:rPr>
          <w:rFonts w:hint="eastAsia" w:ascii="微软雅黑" w:hAnsi="微软雅黑" w:eastAsia="微软雅黑" w:cs="微软雅黑"/>
          <w:b/>
          <w:spacing w:val="0"/>
          <w:sz w:val="30"/>
          <w:szCs w:val="30"/>
          <w:lang w:eastAsia="zh-CN"/>
        </w:rPr>
        <w:br w:type="page"/>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规则简述</w:t>
      </w:r>
      <w:bookmarkEnd w:id="0"/>
    </w:p>
    <w:p>
      <w:pPr>
        <w:pStyle w:val="4"/>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1" w:name="_Toc5972"/>
      <w:r>
        <w:rPr>
          <w:rFonts w:hint="eastAsia" w:ascii="微软雅黑" w:hAnsi="微软雅黑" w:eastAsia="微软雅黑" w:cs="微软雅黑"/>
          <w:sz w:val="24"/>
          <w:szCs w:val="24"/>
        </w:rPr>
        <w:t>术语定义</w:t>
      </w:r>
      <w:bookmarkEnd w:id="1"/>
    </w:p>
    <w:tbl>
      <w:tblPr>
        <w:tblStyle w:val="15"/>
        <w:tblW w:w="8612" w:type="dxa"/>
        <w:tblInd w:w="7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288"/>
        <w:gridCol w:w="6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87"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序号</w:t>
            </w:r>
          </w:p>
        </w:tc>
        <w:tc>
          <w:tcPr>
            <w:tcW w:w="1288"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名称</w:t>
            </w:r>
          </w:p>
        </w:tc>
        <w:tc>
          <w:tcPr>
            <w:tcW w:w="6537"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87"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p>
        </w:tc>
        <w:tc>
          <w:tcPr>
            <w:tcW w:w="1288"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小火炬</w:t>
            </w:r>
          </w:p>
        </w:tc>
        <w:tc>
          <w:tcPr>
            <w:tcW w:w="6537" w:type="dxa"/>
            <w:vAlign w:val="center"/>
          </w:tcPr>
          <w:p>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【高地】内的固定道具，可放置【火种】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787"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p>
        </w:tc>
        <w:tc>
          <w:tcPr>
            <w:tcW w:w="1288"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火种</w:t>
            </w:r>
          </w:p>
        </w:tc>
        <w:tc>
          <w:tcPr>
            <w:tcW w:w="6537" w:type="dxa"/>
            <w:vAlign w:val="center"/>
          </w:tcPr>
          <w:p>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比赛道具，可获得得分或触发速胜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787"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p>
        </w:tc>
        <w:tc>
          <w:tcPr>
            <w:tcW w:w="1288"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高地</w:t>
            </w:r>
          </w:p>
        </w:tc>
        <w:tc>
          <w:tcPr>
            <w:tcW w:w="6537" w:type="dxa"/>
            <w:vAlign w:val="center"/>
          </w:tcPr>
          <w:p>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【小火炬】所在区域，其两个边缘装有障碍桩和横杆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787"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p>
        </w:tc>
        <w:tc>
          <w:tcPr>
            <w:tcW w:w="1288"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运动区</w:t>
            </w:r>
          </w:p>
        </w:tc>
        <w:tc>
          <w:tcPr>
            <w:tcW w:w="6537" w:type="dxa"/>
            <w:vAlign w:val="center"/>
          </w:tcPr>
          <w:p>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高地下方机器人运动区域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787"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p>
        </w:tc>
        <w:tc>
          <w:tcPr>
            <w:tcW w:w="1288" w:type="dxa"/>
            <w:vAlign w:val="center"/>
          </w:tcPr>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启动区</w:t>
            </w:r>
          </w:p>
        </w:tc>
        <w:tc>
          <w:tcPr>
            <w:tcW w:w="6537" w:type="dxa"/>
            <w:vAlign w:val="center"/>
          </w:tcPr>
          <w:p>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手动机器人比赛开始时的启动区域</w:t>
            </w:r>
          </w:p>
        </w:tc>
      </w:tr>
    </w:tbl>
    <w:p>
      <w:pPr>
        <w:pStyle w:val="4"/>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2" w:name="_Toc8068"/>
      <w:r>
        <w:rPr>
          <w:rFonts w:hint="eastAsia" w:ascii="微软雅黑" w:hAnsi="微软雅黑" w:eastAsia="微软雅黑" w:cs="微软雅黑"/>
          <w:sz w:val="24"/>
          <w:szCs w:val="24"/>
        </w:rPr>
        <w:t>规则要点</w:t>
      </w:r>
      <w:bookmarkEnd w:id="2"/>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（1）比赛形式</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ROBOTAC速胜挑战赛（圣火采集）是红、蓝两方机器人在规定场地上的对抗比赛。比赛过程中，机器人完成指定任务获取得分和达成速胜，率先达成速胜条件或在比赛结束时得分多的一方获胜。</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（2）得分方式</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720" w:firstLineChars="3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val="en-US" w:eastAsia="zh-CN"/>
        </w:rPr>
        <w:t>a）</w:t>
      </w:r>
      <w:r>
        <w:rPr>
          <w:rFonts w:hint="eastAsia" w:ascii="微软雅黑" w:hAnsi="微软雅黑" w:eastAsia="微软雅黑" w:cs="微软雅黑"/>
          <w:spacing w:val="0"/>
          <w:kern w:val="0"/>
          <w:sz w:val="24"/>
          <w:szCs w:val="24"/>
          <w:lang w:eastAsia="zh-CN"/>
        </w:rPr>
        <w:t>手动机器人登上高地；</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720" w:firstLineChars="3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val="en-US" w:eastAsia="zh-CN"/>
        </w:rPr>
        <w:t>b）</w:t>
      </w:r>
      <w:r>
        <w:rPr>
          <w:rFonts w:hint="eastAsia" w:ascii="微软雅黑" w:hAnsi="微软雅黑" w:eastAsia="微软雅黑" w:cs="微软雅黑"/>
          <w:spacing w:val="0"/>
          <w:kern w:val="0"/>
          <w:sz w:val="24"/>
          <w:szCs w:val="24"/>
          <w:lang w:eastAsia="zh-CN"/>
        </w:rPr>
        <w:t>手动机器人取下己方火种；</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720" w:firstLineChars="3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val="en-US" w:eastAsia="zh-CN"/>
        </w:rPr>
        <w:t>c）</w:t>
      </w:r>
      <w:r>
        <w:rPr>
          <w:rFonts w:hint="eastAsia" w:ascii="微软雅黑" w:hAnsi="微软雅黑" w:eastAsia="微软雅黑" w:cs="微软雅黑"/>
          <w:spacing w:val="0"/>
          <w:kern w:val="0"/>
          <w:sz w:val="24"/>
          <w:szCs w:val="24"/>
          <w:lang w:eastAsia="zh-CN"/>
        </w:rPr>
        <w:t>手动机器人放置己方或公共火种到己方平台。</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（3）速胜条件</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当一方率先得到全部任务分数，即获得速胜。</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（4）比赛时间</w:t>
      </w:r>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每场比赛时间为2分钟。</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bookmarkStart w:id="3" w:name="_Toc15369"/>
      <w:r>
        <w:rPr>
          <w:rFonts w:hint="eastAsia" w:ascii="微软雅黑" w:hAnsi="微软雅黑" w:eastAsia="微软雅黑" w:cs="微软雅黑"/>
          <w:sz w:val="28"/>
          <w:szCs w:val="28"/>
        </w:rPr>
        <w:t>比赛场地</w:t>
      </w:r>
      <w:bookmarkEnd w:id="3"/>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4" w:name="_Toc16682"/>
      <w:r>
        <w:rPr>
          <w:rFonts w:hint="eastAsia" w:ascii="微软雅黑" w:hAnsi="微软雅黑" w:eastAsia="微软雅黑" w:cs="微软雅黑"/>
          <w:sz w:val="24"/>
          <w:szCs w:val="24"/>
        </w:rPr>
        <w:t>概述</w:t>
      </w:r>
      <w:bookmarkEnd w:id="4"/>
    </w:p>
    <w:p>
      <w:pPr>
        <w:keepNext w:val="0"/>
        <w:keepLines w:val="0"/>
        <w:pageBreakBefore w:val="0"/>
        <w:widowControl w:val="0"/>
        <w:tabs>
          <w:tab w:val="left" w:pos="687"/>
        </w:tabs>
        <w:kinsoku/>
        <w:wordWrap/>
        <w:overflowPunct/>
        <w:topLinePunct w:val="0"/>
        <w:autoSpaceDE w:val="0"/>
        <w:autoSpaceDN w:val="0"/>
        <w:bidi w:val="0"/>
        <w:adjustRightInd/>
        <w:snapToGrid/>
        <w:spacing w:line="360" w:lineRule="auto"/>
        <w:ind w:firstLine="480" w:firstLineChars="200"/>
        <w:jc w:val="left"/>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比赛场地样式如图2-1所示，整体尺寸为6000mm×5400mm，地面由600mm×600mm×15mm的爬行垫铺设，边界由多个120mm×120mm×1750mm的围栏围成。场地尺寸图见附图1，围栏尺寸见附图2。</w:t>
      </w:r>
    </w:p>
    <w:p>
      <w:pPr>
        <w:pStyle w:val="26"/>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sz w:val="28"/>
        </w:rPr>
      </w:pPr>
      <w:r>
        <w:rPr>
          <w:rFonts w:hint="eastAsia" w:ascii="宋体" w:hAnsi="宋体" w:eastAsia="宋体" w:cs="宋体"/>
        </w:rPr>
        <w:drawing>
          <wp:inline distT="0" distB="0" distL="114300" distR="114300">
            <wp:extent cx="5269865" cy="3102610"/>
            <wp:effectExtent l="0" t="0" r="698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9865" cy="310261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图2-1 比赛场地图</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spacing w:val="0"/>
          <w:kern w:val="0"/>
          <w:sz w:val="24"/>
          <w:szCs w:val="24"/>
          <w:lang w:eastAsia="zh-CN"/>
        </w:rPr>
        <w:t>场地中央布置有高地，高地下方运动区内双方各有1个750mm×750mm的手动机器人启动区。</w:t>
      </w:r>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5" w:name="_Toc29673"/>
      <w:r>
        <w:rPr>
          <w:rFonts w:hint="eastAsia" w:ascii="微软雅黑" w:hAnsi="微软雅黑" w:eastAsia="微软雅黑" w:cs="微软雅黑"/>
          <w:sz w:val="24"/>
          <w:szCs w:val="24"/>
        </w:rPr>
        <w:t>高地</w:t>
      </w:r>
      <w:bookmarkEnd w:id="5"/>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高地样式如图2-2所示，由3000mm×3000mm方形区域组成，整体比运动区高135mm，表层用600mm×600mm×15mm的绿色爬行垫铺设。高地中央放置有小火炬，高地两侧。高地朝向场地内的两侧各设置有三组障碍桩。高地尺寸见附图1。</w:t>
      </w:r>
    </w:p>
    <w:p>
      <w:pPr>
        <w:bidi w:val="0"/>
        <w:jc w:val="center"/>
        <w:rPr>
          <w:rFonts w:hint="eastAsia"/>
        </w:rPr>
      </w:pPr>
      <w:r>
        <w:rPr>
          <w:rFonts w:hint="eastAsia"/>
        </w:rPr>
        <w:drawing>
          <wp:inline distT="0" distB="0" distL="114300" distR="114300">
            <wp:extent cx="4336415" cy="3239770"/>
            <wp:effectExtent l="0" t="0" r="6985"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4336415" cy="323977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图2-2 高地</w:t>
      </w:r>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6" w:name="_Toc24242"/>
      <w:bookmarkStart w:id="7" w:name="_Toc28158900"/>
      <w:r>
        <w:rPr>
          <w:rFonts w:hint="eastAsia" w:ascii="微软雅黑" w:hAnsi="微软雅黑" w:eastAsia="微软雅黑" w:cs="微软雅黑"/>
          <w:sz w:val="24"/>
          <w:szCs w:val="24"/>
        </w:rPr>
        <w:t>障碍桩</w:t>
      </w:r>
      <w:bookmarkEnd w:id="6"/>
      <w:bookmarkEnd w:id="7"/>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比赛开始时障碍桩上放置有边长30mm，长850mm的方形铝材横杆，在障碍桩U型槽内构成防御。横杆初始状态如图2-3所示，障碍桩尺寸见附图1。</w:t>
      </w:r>
    </w:p>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rPr>
        <w:drawing>
          <wp:inline distT="0" distB="0" distL="0" distR="0">
            <wp:extent cx="4129405" cy="3239770"/>
            <wp:effectExtent l="0" t="0" r="444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29405" cy="323977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 2-3 障碍桩横杆初始状态</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bookmarkStart w:id="8" w:name="_Toc30968"/>
      <w:r>
        <w:rPr>
          <w:rFonts w:hint="eastAsia" w:ascii="微软雅黑" w:hAnsi="微软雅黑" w:eastAsia="微软雅黑" w:cs="微软雅黑"/>
          <w:sz w:val="28"/>
          <w:szCs w:val="28"/>
        </w:rPr>
        <w:t>比赛道具</w:t>
      </w:r>
      <w:bookmarkEnd w:id="8"/>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9" w:name="_Toc12085"/>
      <w:r>
        <w:rPr>
          <w:rFonts w:hint="eastAsia" w:ascii="微软雅黑" w:hAnsi="微软雅黑" w:eastAsia="微软雅黑" w:cs="微软雅黑"/>
          <w:sz w:val="24"/>
          <w:szCs w:val="24"/>
        </w:rPr>
        <w:t>小火炬</w:t>
      </w:r>
      <w:bookmarkEnd w:id="9"/>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小火炬外形如图3-1所示。小火炬腰部设置有3个火种座，比赛开始时火种座内放置有红、蓝、白三个火种，火种座高度为300mm。小火炬具体尺寸见附图3。</w:t>
      </w:r>
    </w:p>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FF0000"/>
          <w:szCs w:val="21"/>
        </w:rPr>
      </w:pPr>
      <w:r>
        <w:rPr>
          <w:rFonts w:hint="eastAsia" w:ascii="宋体" w:hAnsi="宋体" w:eastAsia="宋体" w:cs="宋体"/>
          <w:color w:val="FF0000"/>
          <w:szCs w:val="21"/>
        </w:rPr>
        <w:drawing>
          <wp:inline distT="0" distB="0" distL="0" distR="0">
            <wp:extent cx="1258570" cy="1871980"/>
            <wp:effectExtent l="0" t="0" r="1778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58570" cy="1871980"/>
                    </a:xfrm>
                    <a:prstGeom prst="rect">
                      <a:avLst/>
                    </a:prstGeom>
                    <a:noFill/>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图3-1小火炬</w:t>
      </w:r>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10" w:name="_Toc32387"/>
      <w:r>
        <w:rPr>
          <w:rFonts w:hint="eastAsia" w:ascii="微软雅黑" w:hAnsi="微软雅黑" w:eastAsia="微软雅黑" w:cs="微软雅黑"/>
          <w:sz w:val="24"/>
          <w:szCs w:val="24"/>
        </w:rPr>
        <w:t>火种</w:t>
      </w:r>
      <w:bookmarkEnd w:id="10"/>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火种外形如图3-2所示，由组委会统一提供。火种为圆柱形发光体，外部材质为软硅胶，长约125mm，中间直径约65mm，两端直径约70mm，重量约为280g。火种分为红、蓝、白三种颜色，红色为红方火种，蓝色为蓝方火种，红色为公共火种。比赛开始时双方各有1个火种放置在中央的小火炬火种座中，各有1个火种放在高地上的平台上，其中红方火种放置在靠近蓝方一侧，蓝方火种放置在靠近红方一侧，小火炬中间的火种座放置公共火种。火种详细尺寸见附图4。</w:t>
      </w:r>
    </w:p>
    <w:p>
      <w:pPr>
        <w:keepNext w:val="0"/>
        <w:keepLines w:val="0"/>
        <w:pageBreakBefore w:val="0"/>
        <w:widowControl/>
        <w:tabs>
          <w:tab w:val="left" w:pos="0"/>
        </w:tabs>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drawing>
          <wp:inline distT="0" distB="0" distL="0" distR="0">
            <wp:extent cx="986155" cy="1583690"/>
            <wp:effectExtent l="0" t="0" r="444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2072" t="6673" r="18644" b="15174"/>
                    <a:stretch>
                      <a:fillRect/>
                    </a:stretch>
                  </pic:blipFill>
                  <pic:spPr>
                    <a:xfrm>
                      <a:off x="0" y="0"/>
                      <a:ext cx="986155" cy="1583690"/>
                    </a:xfrm>
                    <a:prstGeom prst="rect">
                      <a:avLst/>
                    </a:prstGeom>
                    <a:noFill/>
                    <a:ln>
                      <a:noFill/>
                    </a:ln>
                  </pic:spPr>
                </pic:pic>
              </a:graphicData>
            </a:graphic>
          </wp:inline>
        </w:drawing>
      </w:r>
      <w:r>
        <w:rPr>
          <w:rFonts w:hint="eastAsia" w:ascii="微软雅黑" w:hAnsi="微软雅黑" w:eastAsia="微软雅黑" w:cs="微软雅黑"/>
        </w:rPr>
        <w:drawing>
          <wp:inline distT="0" distB="0" distL="0" distR="0">
            <wp:extent cx="1032510" cy="1583690"/>
            <wp:effectExtent l="0" t="0" r="1524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8265" t="6670" r="16513" b="13307"/>
                    <a:stretch>
                      <a:fillRect/>
                    </a:stretch>
                  </pic:blipFill>
                  <pic:spPr>
                    <a:xfrm>
                      <a:off x="0" y="0"/>
                      <a:ext cx="1032510" cy="158369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948055" cy="1583690"/>
            <wp:effectExtent l="0" t="0" r="4445" b="165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lum contrast="42000"/>
                    </a:blip>
                    <a:srcRect l="21948" t="6530" r="16346" b="11734"/>
                    <a:stretch>
                      <a:fillRect/>
                    </a:stretch>
                  </pic:blipFill>
                  <pic:spPr>
                    <a:xfrm>
                      <a:off x="0" y="0"/>
                      <a:ext cx="948055" cy="158369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图3-2火种</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bookmarkStart w:id="11" w:name="_Toc30459"/>
      <w:r>
        <w:rPr>
          <w:rFonts w:hint="eastAsia" w:ascii="微软雅黑" w:hAnsi="微软雅黑" w:eastAsia="微软雅黑" w:cs="微软雅黑"/>
          <w:sz w:val="28"/>
          <w:szCs w:val="28"/>
        </w:rPr>
        <w:t>机器人</w:t>
      </w:r>
      <w:bookmarkEnd w:id="11"/>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每支参赛队有1台手动机器人，上场机器人重量不得超过15kg。包括能源和机器人所有部件的重量（包括自行安装的图像传输模块），不包括遥控器、备份电池和备件。</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不允许使用空中飞行机器人。</w:t>
      </w:r>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12" w:name="_Toc25884"/>
      <w:r>
        <w:rPr>
          <w:rFonts w:hint="eastAsia" w:ascii="微软雅黑" w:hAnsi="微软雅黑" w:eastAsia="微软雅黑" w:cs="微软雅黑"/>
          <w:sz w:val="24"/>
          <w:szCs w:val="24"/>
        </w:rPr>
        <w:t>手动机器人</w:t>
      </w:r>
      <w:bookmarkEnd w:id="12"/>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手动机器人必须从手动机器人启动区启动，且必须放置在手动机器人启动区内（正投影不得超出），机器人的尺寸不超过600mm*600mm*750mm。手动机器人需要制作执行机构用于完成任务，如拆除障碍横杆获取、携带、放置火种等功能，也可以安装攻击机构，用来攻击对方机器人。这些机构是机器人的一部分，应满足机器人尺寸限制要求，且在比赛过程中不得与机器人分离。</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手动机人的遥控相关设备由参赛队自行选择。参赛队在比赛前确认控制状态正常，比赛开始后参赛队需对比赛中出现被干扰情况负责。</w:t>
      </w:r>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13" w:name="_Toc13331"/>
      <w:r>
        <w:rPr>
          <w:rFonts w:hint="eastAsia" w:ascii="微软雅黑" w:hAnsi="微软雅黑" w:eastAsia="微软雅黑" w:cs="微软雅黑"/>
          <w:sz w:val="24"/>
          <w:szCs w:val="24"/>
        </w:rPr>
        <w:t>能源限制</w:t>
      </w:r>
      <w:bookmarkEnd w:id="13"/>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（1）手动机器人的电源标称电压必须低于12VDC。</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（2）允许使用压缩空气，但储气瓶压力不得超过0.8MPa，每台机器人上的气瓶总容积不得超过5L，所用气瓶必须套有保护罩。</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bookmarkStart w:id="14" w:name="_Toc23375"/>
      <w:r>
        <w:rPr>
          <w:rFonts w:hint="eastAsia" w:ascii="微软雅黑" w:hAnsi="微软雅黑" w:eastAsia="微软雅黑" w:cs="微软雅黑"/>
          <w:sz w:val="28"/>
          <w:szCs w:val="28"/>
        </w:rPr>
        <w:t>参赛队</w:t>
      </w:r>
      <w:bookmarkEnd w:id="14"/>
    </w:p>
    <w:p>
      <w:pPr>
        <w:pStyle w:val="26"/>
        <w:keepNext w:val="0"/>
        <w:keepLines w:val="0"/>
        <w:pageBreakBefore w:val="0"/>
        <w:widowControl/>
        <w:numPr>
          <w:ilvl w:val="0"/>
          <w:numId w:val="3"/>
        </w:numPr>
        <w:kinsoku/>
        <w:wordWrap/>
        <w:overflowPunct/>
        <w:topLinePunct w:val="0"/>
        <w:autoSpaceDE/>
        <w:autoSpaceDN/>
        <w:bidi w:val="0"/>
        <w:adjustRightInd/>
        <w:snapToGrid/>
        <w:spacing w:line="360" w:lineRule="auto"/>
        <w:ind w:lef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参赛队员须为在校学生，对其所属专业不做限制。参赛队应指定1名学生担任队长。</w:t>
      </w:r>
    </w:p>
    <w:p>
      <w:pPr>
        <w:pStyle w:val="26"/>
        <w:keepNext w:val="0"/>
        <w:keepLines w:val="0"/>
        <w:pageBreakBefore w:val="0"/>
        <w:widowControl/>
        <w:numPr>
          <w:ilvl w:val="0"/>
          <w:numId w:val="3"/>
        </w:numPr>
        <w:kinsoku/>
        <w:wordWrap/>
        <w:overflowPunct/>
        <w:topLinePunct w:val="0"/>
        <w:autoSpaceDE/>
        <w:autoSpaceDN/>
        <w:bidi w:val="0"/>
        <w:adjustRightInd/>
        <w:snapToGrid/>
        <w:spacing w:line="360" w:lineRule="auto"/>
        <w:ind w:lef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上场的参赛队只允许有1名教师和2名学生队员。教师不得参与对机器人的操作。</w:t>
      </w:r>
    </w:p>
    <w:p>
      <w:pPr>
        <w:pStyle w:val="26"/>
        <w:keepNext w:val="0"/>
        <w:keepLines w:val="0"/>
        <w:pageBreakBefore w:val="0"/>
        <w:widowControl/>
        <w:numPr>
          <w:ilvl w:val="0"/>
          <w:numId w:val="3"/>
        </w:numPr>
        <w:kinsoku/>
        <w:wordWrap/>
        <w:overflowPunct/>
        <w:topLinePunct w:val="0"/>
        <w:autoSpaceDE/>
        <w:autoSpaceDN/>
        <w:bidi w:val="0"/>
        <w:adjustRightInd/>
        <w:snapToGrid/>
        <w:spacing w:line="360" w:lineRule="auto"/>
        <w:ind w:lef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比赛过程中，操作手必须在场地外指定操作区活动，不得离开操作区。</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bookmarkStart w:id="15" w:name="_Toc18599"/>
      <w:r>
        <w:rPr>
          <w:rFonts w:hint="eastAsia" w:ascii="微软雅黑" w:hAnsi="微软雅黑" w:eastAsia="微软雅黑" w:cs="微软雅黑"/>
          <w:sz w:val="28"/>
          <w:szCs w:val="28"/>
        </w:rPr>
        <w:t>比赛</w:t>
      </w:r>
      <w:bookmarkEnd w:id="15"/>
      <w:r>
        <w:rPr>
          <w:rFonts w:hint="eastAsia" w:ascii="微软雅黑" w:hAnsi="微软雅黑" w:eastAsia="微软雅黑" w:cs="微软雅黑"/>
          <w:sz w:val="28"/>
          <w:szCs w:val="28"/>
          <w:lang w:eastAsia="zh-CN"/>
        </w:rPr>
        <w:t>规则</w:t>
      </w:r>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16" w:name="_Toc14632"/>
      <w:r>
        <w:rPr>
          <w:rFonts w:hint="eastAsia" w:ascii="微软雅黑" w:hAnsi="微软雅黑" w:eastAsia="微软雅黑" w:cs="微软雅黑"/>
          <w:sz w:val="24"/>
          <w:szCs w:val="24"/>
        </w:rPr>
        <w:t>比赛过程</w:t>
      </w:r>
      <w:bookmarkEnd w:id="16"/>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bookmarkStart w:id="17" w:name="_Toc22775"/>
      <w:r>
        <w:rPr>
          <w:rFonts w:hint="eastAsia" w:ascii="微软雅黑" w:hAnsi="微软雅黑" w:eastAsia="微软雅黑" w:cs="微软雅黑"/>
          <w:spacing w:val="0"/>
          <w:kern w:val="0"/>
          <w:sz w:val="24"/>
          <w:szCs w:val="24"/>
          <w:lang w:val="en-US" w:eastAsia="zh-CN"/>
        </w:rPr>
        <w:t>6.1.1.</w:t>
      </w:r>
      <w:r>
        <w:rPr>
          <w:rFonts w:hint="eastAsia" w:ascii="微软雅黑" w:hAnsi="微软雅黑" w:eastAsia="微软雅黑" w:cs="微软雅黑"/>
          <w:spacing w:val="0"/>
          <w:kern w:val="0"/>
          <w:sz w:val="24"/>
          <w:szCs w:val="24"/>
          <w:lang w:eastAsia="zh-CN"/>
        </w:rPr>
        <w:t>准备时间</w:t>
      </w:r>
      <w:bookmarkEnd w:id="17"/>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比赛开始前，各队有1分钟准备时间，将机器人置于各自的启动区，并进行必要的调整与设置，机器人可以加电，手动机器人不得运行出启动区。</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bookmarkStart w:id="18" w:name="_Toc5317"/>
      <w:r>
        <w:rPr>
          <w:rFonts w:hint="eastAsia" w:ascii="微软雅黑" w:hAnsi="微软雅黑" w:eastAsia="微软雅黑" w:cs="微软雅黑"/>
          <w:spacing w:val="0"/>
          <w:kern w:val="0"/>
          <w:sz w:val="24"/>
          <w:szCs w:val="24"/>
          <w:lang w:val="en-US" w:eastAsia="zh-CN"/>
        </w:rPr>
        <w:t>6.1.2.</w:t>
      </w:r>
      <w:r>
        <w:rPr>
          <w:rFonts w:hint="eastAsia" w:ascii="微软雅黑" w:hAnsi="微软雅黑" w:eastAsia="微软雅黑" w:cs="微软雅黑"/>
          <w:spacing w:val="0"/>
          <w:kern w:val="0"/>
          <w:sz w:val="24"/>
          <w:szCs w:val="24"/>
          <w:lang w:eastAsia="zh-CN"/>
        </w:rPr>
        <w:t>比赛开始</w:t>
      </w:r>
      <w:bookmarkEnd w:id="18"/>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比赛开始以比赛系统或现场裁判哨响为准手动机器人可从其启动区驶出，进行清障、登上高地、获取、放置火种任务。</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bookmarkStart w:id="19" w:name="_Toc540"/>
      <w:r>
        <w:rPr>
          <w:rFonts w:hint="eastAsia" w:ascii="微软雅黑" w:hAnsi="微软雅黑" w:eastAsia="微软雅黑" w:cs="微软雅黑"/>
          <w:spacing w:val="0"/>
          <w:kern w:val="0"/>
          <w:sz w:val="24"/>
          <w:szCs w:val="24"/>
          <w:lang w:val="en-US" w:eastAsia="zh-CN"/>
        </w:rPr>
        <w:t>6.1.3.</w:t>
      </w:r>
      <w:r>
        <w:rPr>
          <w:rFonts w:hint="eastAsia" w:ascii="微软雅黑" w:hAnsi="微软雅黑" w:eastAsia="微软雅黑" w:cs="微软雅黑"/>
          <w:spacing w:val="0"/>
          <w:kern w:val="0"/>
          <w:sz w:val="24"/>
          <w:szCs w:val="24"/>
          <w:lang w:eastAsia="zh-CN"/>
        </w:rPr>
        <w:t>得分</w:t>
      </w:r>
      <w:bookmarkEnd w:id="19"/>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手动机器人登上高地且与地面无接触得10分，总计10分；登上高地后机器人可以获取己方火种，机器人使己方火种脱离小火炬每个可得20分，其中公共火种脱离不得分，最高40分；机器人每将己方或公共火种带回并放置到己方高地下面的平台上获得20分，其中放置到主平台区域内的平台得30分，每个平台和火种仅能获取一次分数，最高70分。机器人完成所有获得120分，即达成速胜，比赛立即结束。</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bookmarkStart w:id="20" w:name="_Toc16513"/>
      <w:r>
        <w:rPr>
          <w:rFonts w:hint="eastAsia" w:ascii="微软雅黑" w:hAnsi="微软雅黑" w:eastAsia="微软雅黑" w:cs="微软雅黑"/>
          <w:spacing w:val="0"/>
          <w:kern w:val="0"/>
          <w:sz w:val="24"/>
          <w:szCs w:val="24"/>
          <w:lang w:val="en-US" w:eastAsia="zh-CN"/>
        </w:rPr>
        <w:t>6.1.4.</w:t>
      </w:r>
      <w:r>
        <w:rPr>
          <w:rFonts w:hint="eastAsia" w:ascii="微软雅黑" w:hAnsi="微软雅黑" w:eastAsia="微软雅黑" w:cs="微软雅黑"/>
          <w:spacing w:val="0"/>
          <w:kern w:val="0"/>
          <w:sz w:val="24"/>
          <w:szCs w:val="24"/>
          <w:lang w:eastAsia="zh-CN"/>
        </w:rPr>
        <w:t>比赛结束</w:t>
      </w:r>
      <w:bookmarkEnd w:id="20"/>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其中一支队伍获得速胜则比赛立即结束，否则2分钟比赛时间到比赛结束。</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bookmarkStart w:id="21" w:name="_Toc30728"/>
      <w:r>
        <w:rPr>
          <w:rFonts w:hint="eastAsia" w:ascii="微软雅黑" w:hAnsi="微软雅黑" w:eastAsia="微软雅黑" w:cs="微软雅黑"/>
          <w:sz w:val="28"/>
          <w:szCs w:val="28"/>
        </w:rPr>
        <w:t>胜负判定</w:t>
      </w:r>
      <w:bookmarkEnd w:id="21"/>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以比赛结束时得分多少判定胜负。若比赛分为小组赛和淘汰赛，则小组赛没有速胜规则且允许平局结果；淘汰赛若出现平局，则按照以下顺序确定胜负：</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（1）1分钟加时赛，将所有障碍桩全部设为障碍，双方手动机器人不得更换配件及补充能源，在比赛开始后从手动机器人出发区出发，率先登上高地者获得胜利；</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w:t>
      </w:r>
      <w:r>
        <w:rPr>
          <w:rFonts w:hint="eastAsia" w:ascii="微软雅黑" w:hAnsi="微软雅黑" w:eastAsia="微软雅黑" w:cs="微软雅黑"/>
          <w:spacing w:val="0"/>
          <w:kern w:val="0"/>
          <w:sz w:val="24"/>
          <w:szCs w:val="24"/>
          <w:lang w:val="en-US" w:eastAsia="zh-CN"/>
        </w:rPr>
        <w:t>2</w:t>
      </w:r>
      <w:r>
        <w:rPr>
          <w:rFonts w:hint="eastAsia" w:ascii="微软雅黑" w:hAnsi="微软雅黑" w:eastAsia="微软雅黑" w:cs="微软雅黑"/>
          <w:spacing w:val="0"/>
          <w:kern w:val="0"/>
          <w:sz w:val="24"/>
          <w:szCs w:val="24"/>
          <w:lang w:eastAsia="zh-CN"/>
        </w:rPr>
        <w:t>）若1分钟结束双方均未登上高地，则出场机器人重量轻的一方获胜。</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b/>
          <w:bCs/>
          <w:spacing w:val="0"/>
          <w:kern w:val="0"/>
          <w:sz w:val="24"/>
          <w:szCs w:val="24"/>
          <w:lang w:eastAsia="zh-CN"/>
        </w:rPr>
      </w:pPr>
      <w:r>
        <w:rPr>
          <w:rFonts w:hint="eastAsia" w:ascii="微软雅黑" w:hAnsi="微软雅黑" w:eastAsia="微软雅黑" w:cs="微软雅黑"/>
          <w:b/>
          <w:bCs/>
          <w:spacing w:val="0"/>
          <w:kern w:val="0"/>
          <w:sz w:val="24"/>
          <w:szCs w:val="24"/>
          <w:lang w:eastAsia="zh-CN"/>
        </w:rPr>
        <w:t>出现取消成绩的情况时，该队比赛判负，如有得分则记为零分，该场比赛判对方取得速胜。出现放弃比赛或迟到的情况时，该队比赛判负，记0分，由对方独自完成比赛并获取得分。</w:t>
      </w:r>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22" w:name="_Toc10112"/>
      <w:r>
        <w:rPr>
          <w:rFonts w:hint="eastAsia" w:ascii="微软雅黑" w:hAnsi="微软雅黑" w:eastAsia="微软雅黑" w:cs="微软雅黑"/>
          <w:sz w:val="24"/>
          <w:szCs w:val="24"/>
        </w:rPr>
        <w:t>重试及断电</w:t>
      </w:r>
      <w:bookmarkEnd w:id="22"/>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比赛开始后，不得申请重试，如机器人在场上出现故障或失控，则自动退出比赛，为了维护比赛正常进行，裁判有权根据现场情况要求该机器人断电并拿出场地。</w:t>
      </w:r>
    </w:p>
    <w:p>
      <w:pPr>
        <w:pStyle w:val="4"/>
        <w:keepNext/>
        <w:keepLines/>
        <w:pageBreakBefore w:val="0"/>
        <w:widowControl/>
        <w:numPr>
          <w:ilvl w:val="1"/>
          <w:numId w:val="1"/>
        </w:numPr>
        <w:kinsoku/>
        <w:wordWrap/>
        <w:overflowPunct/>
        <w:topLinePunct w:val="0"/>
        <w:autoSpaceDE/>
        <w:autoSpaceDN/>
        <w:bidi w:val="0"/>
        <w:adjustRightInd/>
        <w:snapToGrid/>
        <w:spacing w:before="0" w:after="0" w:line="360" w:lineRule="auto"/>
        <w:ind w:left="0" w:firstLine="480" w:firstLineChars="200"/>
        <w:textAlignment w:val="auto"/>
        <w:rPr>
          <w:rFonts w:hint="eastAsia" w:ascii="微软雅黑" w:hAnsi="微软雅黑" w:eastAsia="微软雅黑" w:cs="微软雅黑"/>
          <w:sz w:val="24"/>
          <w:szCs w:val="24"/>
        </w:rPr>
      </w:pPr>
      <w:bookmarkStart w:id="23" w:name="_Toc19549"/>
      <w:r>
        <w:rPr>
          <w:rFonts w:hint="eastAsia" w:ascii="微软雅黑" w:hAnsi="微软雅黑" w:eastAsia="微软雅黑" w:cs="微软雅黑"/>
          <w:sz w:val="24"/>
          <w:szCs w:val="24"/>
        </w:rPr>
        <w:t>犯规及扣分</w:t>
      </w:r>
      <w:bookmarkEnd w:id="23"/>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参赛队的下列行为将会被认定为犯规，并扣罚相应分数，且判罚可累计。</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bookmarkStart w:id="24" w:name="_Toc99701876"/>
      <w:bookmarkEnd w:id="24"/>
      <w:bookmarkStart w:id="25" w:name="_Toc59604197"/>
      <w:bookmarkEnd w:id="25"/>
      <w:bookmarkStart w:id="26" w:name="_Toc62225897"/>
      <w:bookmarkEnd w:id="26"/>
      <w:bookmarkStart w:id="27" w:name="_Toc58482671"/>
      <w:bookmarkEnd w:id="27"/>
      <w:bookmarkStart w:id="28" w:name="_Toc98237634"/>
      <w:bookmarkEnd w:id="28"/>
      <w:bookmarkStart w:id="29" w:name="_Toc58483510"/>
      <w:bookmarkEnd w:id="29"/>
      <w:bookmarkStart w:id="30" w:name="_Toc99701977"/>
      <w:bookmarkEnd w:id="30"/>
      <w:bookmarkStart w:id="31" w:name="_Toc59375435"/>
      <w:bookmarkEnd w:id="31"/>
      <w:bookmarkStart w:id="32" w:name="_Toc60909147"/>
      <w:bookmarkEnd w:id="32"/>
      <w:bookmarkStart w:id="33" w:name="_Toc62830909"/>
      <w:bookmarkEnd w:id="33"/>
      <w:bookmarkStart w:id="34" w:name="_Toc99701941"/>
      <w:bookmarkEnd w:id="34"/>
      <w:bookmarkStart w:id="35" w:name="_Toc57997496"/>
      <w:bookmarkEnd w:id="35"/>
      <w:bookmarkStart w:id="36" w:name="_Toc57455550"/>
      <w:bookmarkEnd w:id="36"/>
      <w:bookmarkStart w:id="37" w:name="_Toc58920520"/>
      <w:bookmarkEnd w:id="37"/>
      <w:bookmarkStart w:id="38" w:name="_Toc57455480"/>
      <w:bookmarkEnd w:id="38"/>
      <w:bookmarkStart w:id="39" w:name="_Toc62225865"/>
      <w:bookmarkEnd w:id="39"/>
      <w:bookmarkStart w:id="40" w:name="_Toc60911229"/>
      <w:bookmarkEnd w:id="40"/>
      <w:bookmarkStart w:id="41" w:name="_Toc60909212"/>
      <w:bookmarkEnd w:id="41"/>
      <w:bookmarkStart w:id="42" w:name="_Toc57997431"/>
      <w:bookmarkEnd w:id="42"/>
      <w:bookmarkStart w:id="43" w:name="_Toc59430565"/>
      <w:bookmarkEnd w:id="43"/>
      <w:bookmarkStart w:id="44" w:name="_Toc25514"/>
      <w:bookmarkStart w:id="45" w:name="_Toc60911230"/>
      <w:r>
        <w:rPr>
          <w:rFonts w:hint="eastAsia" w:ascii="微软雅黑" w:hAnsi="微软雅黑" w:eastAsia="微软雅黑" w:cs="微软雅黑"/>
          <w:spacing w:val="0"/>
          <w:kern w:val="0"/>
          <w:sz w:val="24"/>
          <w:szCs w:val="24"/>
          <w:lang w:val="en-US" w:eastAsia="zh-CN"/>
        </w:rPr>
        <w:t>7.2.1.</w:t>
      </w:r>
      <w:r>
        <w:rPr>
          <w:rFonts w:hint="eastAsia" w:ascii="微软雅黑" w:hAnsi="微软雅黑" w:eastAsia="微软雅黑" w:cs="微软雅黑"/>
          <w:spacing w:val="0"/>
          <w:kern w:val="0"/>
          <w:sz w:val="24"/>
          <w:szCs w:val="24"/>
          <w:lang w:eastAsia="zh-CN"/>
        </w:rPr>
        <w:t>犯规扣1分</w:t>
      </w:r>
      <w:bookmarkEnd w:id="44"/>
      <w:bookmarkEnd w:id="45"/>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bookmarkStart w:id="46" w:name="_Toc60911231"/>
      <w:r>
        <w:rPr>
          <w:rFonts w:hint="eastAsia" w:ascii="微软雅黑" w:hAnsi="微软雅黑" w:eastAsia="微软雅黑" w:cs="微软雅黑"/>
          <w:spacing w:val="0"/>
          <w:kern w:val="0"/>
          <w:sz w:val="24"/>
          <w:szCs w:val="24"/>
          <w:lang w:eastAsia="zh-CN"/>
        </w:rPr>
        <w:t>（1）第一次抢跑；</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 xml:space="preserve">（2）比赛开始后10秒未完成启动，仍接触机器人； </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（3）机器人启动后，操作手接触机器人；</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（4）比赛开始后，操作手离开操作区；</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（5）比赛期间参赛队有不文明语言、不文明行为。</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bookmarkStart w:id="47" w:name="_Toc27912"/>
      <w:r>
        <w:rPr>
          <w:rFonts w:hint="eastAsia" w:ascii="微软雅黑" w:hAnsi="微软雅黑" w:eastAsia="微软雅黑" w:cs="微软雅黑"/>
          <w:spacing w:val="0"/>
          <w:kern w:val="0"/>
          <w:sz w:val="24"/>
          <w:szCs w:val="24"/>
          <w:lang w:val="en-US" w:eastAsia="zh-CN"/>
        </w:rPr>
        <w:t>7.2.1.</w:t>
      </w:r>
      <w:r>
        <w:rPr>
          <w:rFonts w:hint="eastAsia" w:ascii="微软雅黑" w:hAnsi="微软雅黑" w:eastAsia="微软雅黑" w:cs="微软雅黑"/>
          <w:spacing w:val="0"/>
          <w:kern w:val="0"/>
          <w:sz w:val="24"/>
          <w:szCs w:val="24"/>
          <w:lang w:eastAsia="zh-CN"/>
        </w:rPr>
        <w:t>罚下机器人</w:t>
      </w:r>
      <w:bookmarkEnd w:id="46"/>
      <w:bookmarkEnd w:id="47"/>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 xml:space="preserve">（1）该场比赛中出现的第二次抢跑行为为（无论是否是第一次抢跑方）； </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（2）运动到（无论主动或被动）比赛场地围栏外（机器人部件接触到场地围栏外地面）时将被罚下；</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（3）故意损坏比赛场地、道具；</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b/>
          <w:bCs/>
          <w:spacing w:val="0"/>
          <w:kern w:val="0"/>
          <w:sz w:val="24"/>
          <w:szCs w:val="24"/>
          <w:lang w:eastAsia="zh-CN"/>
        </w:rPr>
        <w:t>被罚下的机器人如未按裁判要求停止运动，1次扣10分，判罚可累计。</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bookmarkStart w:id="48" w:name="_Toc77"/>
      <w:bookmarkStart w:id="49" w:name="_Toc60911232"/>
      <w:r>
        <w:rPr>
          <w:rFonts w:hint="eastAsia" w:ascii="微软雅黑" w:hAnsi="微软雅黑" w:eastAsia="微软雅黑" w:cs="微软雅黑"/>
          <w:spacing w:val="0"/>
          <w:kern w:val="0"/>
          <w:sz w:val="24"/>
          <w:szCs w:val="24"/>
          <w:lang w:val="en-US" w:eastAsia="zh-CN"/>
        </w:rPr>
        <w:t>7.2.3.</w:t>
      </w:r>
      <w:r>
        <w:rPr>
          <w:rFonts w:hint="eastAsia" w:ascii="微软雅黑" w:hAnsi="微软雅黑" w:eastAsia="微软雅黑" w:cs="微软雅黑"/>
          <w:spacing w:val="0"/>
          <w:kern w:val="0"/>
          <w:sz w:val="24"/>
          <w:szCs w:val="24"/>
          <w:lang w:eastAsia="zh-CN"/>
        </w:rPr>
        <w:t>取消成绩</w:t>
      </w:r>
      <w:bookmarkEnd w:id="48"/>
      <w:bookmarkEnd w:id="49"/>
    </w:p>
    <w:p>
      <w:pPr>
        <w:pageBreakBefore w:val="0"/>
        <w:tabs>
          <w:tab w:val="left" w:pos="0"/>
        </w:tabs>
        <w:kinsoku/>
        <w:wordWrap/>
        <w:overflowPunct/>
        <w:topLinePunct w:val="0"/>
        <w:bidi w:val="0"/>
        <w:adjustRightInd/>
        <w:snapToGrid/>
        <w:spacing w:line="360" w:lineRule="auto"/>
        <w:ind w:left="0" w:firstLine="720" w:firstLineChars="3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（1）机器人做出危险动作，危及场上操作手或裁判、观众安全；</w:t>
      </w:r>
    </w:p>
    <w:p>
      <w:pPr>
        <w:pageBreakBefore w:val="0"/>
        <w:tabs>
          <w:tab w:val="left" w:pos="0"/>
        </w:tabs>
        <w:kinsoku/>
        <w:wordWrap/>
        <w:overflowPunct/>
        <w:topLinePunct w:val="0"/>
        <w:bidi w:val="0"/>
        <w:adjustRightInd/>
        <w:snapToGrid/>
        <w:spacing w:line="360" w:lineRule="auto"/>
        <w:ind w:left="0" w:firstLine="720" w:firstLineChars="3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（2）不听从裁判指挥、不服从裁判判决；</w:t>
      </w:r>
    </w:p>
    <w:p>
      <w:pPr>
        <w:pageBreakBefore w:val="0"/>
        <w:tabs>
          <w:tab w:val="left" w:pos="0"/>
        </w:tabs>
        <w:kinsoku/>
        <w:wordWrap/>
        <w:overflowPunct/>
        <w:topLinePunct w:val="0"/>
        <w:bidi w:val="0"/>
        <w:adjustRightInd/>
        <w:snapToGrid/>
        <w:spacing w:line="360" w:lineRule="auto"/>
        <w:ind w:left="0" w:firstLine="720" w:firstLineChars="3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（3）做出任何有悖公平竞争精神的行为。</w:t>
      </w:r>
    </w:p>
    <w:p>
      <w:pPr>
        <w:keepNext w:val="0"/>
        <w:keepLines w:val="0"/>
        <w:pageBreakBefore w:val="0"/>
        <w:widowControl/>
        <w:tabs>
          <w:tab w:val="left" w:pos="0"/>
        </w:tabs>
        <w:kinsoku/>
        <w:wordWrap/>
        <w:overflowPunct/>
        <w:topLinePunct w:val="0"/>
        <w:autoSpaceDE/>
        <w:autoSpaceDN/>
        <w:bidi w:val="0"/>
        <w:adjustRightInd/>
        <w:snapToGrid/>
        <w:spacing w:line="360" w:lineRule="auto"/>
        <w:ind w:left="0" w:firstLine="480" w:firstLineChars="200"/>
        <w:textAlignment w:val="auto"/>
        <w:rPr>
          <w:rFonts w:hint="eastAsia" w:ascii="微软雅黑" w:hAnsi="微软雅黑" w:eastAsia="微软雅黑" w:cs="微软雅黑"/>
          <w:b/>
          <w:bCs/>
          <w:spacing w:val="0"/>
          <w:kern w:val="0"/>
          <w:sz w:val="24"/>
          <w:szCs w:val="24"/>
          <w:lang w:eastAsia="zh-CN"/>
        </w:rPr>
      </w:pPr>
      <w:r>
        <w:rPr>
          <w:rFonts w:hint="eastAsia" w:ascii="微软雅黑" w:hAnsi="微软雅黑" w:eastAsia="微软雅黑" w:cs="微软雅黑"/>
          <w:b/>
          <w:bCs/>
          <w:spacing w:val="0"/>
          <w:kern w:val="0"/>
          <w:sz w:val="24"/>
          <w:szCs w:val="24"/>
          <w:lang w:eastAsia="zh-CN"/>
        </w:rPr>
        <w:t>出现取消成绩的情况时，该队比赛判负，如有得分则记为零分，该场比赛判对方取得速胜。</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bookmarkStart w:id="50" w:name="_Toc8401"/>
      <w:r>
        <w:rPr>
          <w:rFonts w:hint="eastAsia" w:ascii="微软雅黑" w:hAnsi="微软雅黑" w:eastAsia="微软雅黑" w:cs="微软雅黑"/>
          <w:sz w:val="28"/>
          <w:szCs w:val="28"/>
        </w:rPr>
        <w:t>安全</w:t>
      </w:r>
      <w:bookmarkEnd w:id="50"/>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安全是河南省大学生机器人竞赛持续发展的重要问题，每位参赛者应特别重视并有义务按照本节的规定在充分采取安全措施的前提下制作机器人。</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（1）指导教师应该负起安全指导和监督的责任；</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（2）不允许使用液压动力、燃油驱动的发动机、爆炸物、高压气体（超过0.8MPa）、含能化学材料等组委会认为危险和不适当的能源；</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3）操作员的误操作、控制系统失控、部件损坏，均可能导致机器人骤停、突然加速或转向，发生操作员与机器人之间碰撞、接触，造成伤害。发射或攻击机构一旦被突然触发，也可能误伤周围的人员。凡此种种意外情况，都应采取必要的安全措施（例如，严禁单独训练以便有人对事故做出应急响应，必须佩戴护目镜、头盔，调试时在机器人系统中进行适当的锁定，等等）；</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（4）参赛机器人不应给队员、裁判、工作人员、观众、设备和比赛场地造成伤害。如果现场裁判认为机器人的行为对人员或设备有潜在危险，可以禁止该机器人参赛或随时终止比赛。</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rPr>
      </w:pPr>
      <w:bookmarkStart w:id="51" w:name="_Toc14079"/>
      <w:r>
        <w:rPr>
          <w:rFonts w:hint="eastAsia" w:ascii="微软雅黑" w:hAnsi="微软雅黑" w:eastAsia="微软雅黑" w:cs="微软雅黑"/>
          <w:sz w:val="28"/>
          <w:szCs w:val="28"/>
        </w:rPr>
        <w:t>其他</w:t>
      </w:r>
      <w:bookmarkEnd w:id="51"/>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（1）规则如有修改更新，组委会将在赛事官方网站上发布，以比赛开始前最新发布版本为准；</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2）本规则所涉及场地、道具的尺寸、图纸全部公开，参赛队可自行参考制作。比赛场地及道具规格参数的允许误差为±5%。但是，规则给出的机器人尺寸和重量是最大值，没有允许误差。为增加赛事观赏性，组委会搭建的正式比赛场地会在保证关键尺寸不变的前提下，在造型、装饰、材料、灯光等方面做出变化，各参赛队的比赛机器人需要具有一定的适应性；</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w:t>
      </w:r>
      <w:r>
        <w:rPr>
          <w:rFonts w:hint="eastAsia" w:ascii="微软雅黑" w:hAnsi="微软雅黑" w:eastAsia="微软雅黑" w:cs="微软雅黑"/>
          <w:spacing w:val="0"/>
          <w:kern w:val="0"/>
          <w:sz w:val="24"/>
          <w:szCs w:val="24"/>
          <w:lang w:val="en-US" w:eastAsia="zh-CN"/>
        </w:rPr>
        <w:t>3</w:t>
      </w:r>
      <w:r>
        <w:rPr>
          <w:rFonts w:hint="eastAsia" w:ascii="微软雅黑" w:hAnsi="微软雅黑" w:eastAsia="微软雅黑" w:cs="微软雅黑"/>
          <w:spacing w:val="0"/>
          <w:kern w:val="0"/>
          <w:sz w:val="24"/>
          <w:szCs w:val="24"/>
          <w:lang w:eastAsia="zh-CN"/>
        </w:rPr>
        <w:t>）裁判有权对规则中未规定的任何行为做出裁决。在有争议的情况下，裁判长的裁决是最终裁决；</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kern w:val="0"/>
          <w:sz w:val="24"/>
          <w:szCs w:val="24"/>
          <w:lang w:eastAsia="zh-CN"/>
        </w:rPr>
        <w:t>（</w:t>
      </w:r>
      <w:r>
        <w:rPr>
          <w:rFonts w:hint="eastAsia" w:ascii="微软雅黑" w:hAnsi="微软雅黑" w:eastAsia="微软雅黑" w:cs="微软雅黑"/>
          <w:spacing w:val="0"/>
          <w:kern w:val="0"/>
          <w:sz w:val="24"/>
          <w:szCs w:val="24"/>
          <w:lang w:val="en-US" w:eastAsia="zh-CN"/>
        </w:rPr>
        <w:t>4</w:t>
      </w:r>
      <w:r>
        <w:rPr>
          <w:rFonts w:hint="eastAsia" w:ascii="微软雅黑" w:hAnsi="微软雅黑" w:eastAsia="微软雅黑" w:cs="微软雅黑"/>
          <w:spacing w:val="0"/>
          <w:kern w:val="0"/>
          <w:sz w:val="24"/>
          <w:szCs w:val="24"/>
          <w:lang w:eastAsia="zh-CN"/>
        </w:rPr>
        <w:t>）规则的最终解释权归河南省大学生机器人竞赛组委会所有。</w:t>
      </w: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申诉与仲裁</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微软雅黑" w:hAnsi="微软雅黑" w:eastAsia="微软雅黑" w:cs="微软雅黑"/>
          <w:spacing w:val="0"/>
          <w:sz w:val="24"/>
          <w:szCs w:val="24"/>
          <w:lang w:eastAsia="zh-CN"/>
        </w:rPr>
      </w:pPr>
      <w:r>
        <w:rPr>
          <w:rFonts w:hint="eastAsia" w:ascii="微软雅黑" w:hAnsi="微软雅黑" w:eastAsia="微软雅黑" w:cs="微软雅黑"/>
          <w:spacing w:val="0"/>
          <w:sz w:val="24"/>
          <w:szCs w:val="24"/>
          <w:lang w:eastAsia="zh-CN"/>
        </w:rPr>
        <w:t>（1）各参赛队对不符合大赛和赛项规程规定的仪器、设备、工装、材料、物件、计算机软硬件、竞赛使用工具、用品，竞赛执裁、赛场管理、竞赛成绩等，可向赛项仲裁组提出申诉。申诉主体为参赛队领队。</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微软雅黑" w:hAnsi="微软雅黑" w:eastAsia="微软雅黑" w:cs="微软雅黑"/>
          <w:spacing w:val="0"/>
          <w:sz w:val="24"/>
          <w:szCs w:val="24"/>
          <w:lang w:eastAsia="zh-CN"/>
        </w:rPr>
      </w:pPr>
      <w:r>
        <w:rPr>
          <w:rFonts w:hint="eastAsia" w:ascii="微软雅黑" w:hAnsi="微软雅黑" w:eastAsia="微软雅黑" w:cs="微软雅黑"/>
          <w:spacing w:val="0"/>
          <w:sz w:val="24"/>
          <w:szCs w:val="24"/>
          <w:lang w:eastAsia="zh-CN"/>
        </w:rPr>
        <w:t>（2）仲裁人员的姓名、联系方式应该在竞赛期间向参赛队和工作人员公示，确保信息畅通并同时接受大众监督。</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微软雅黑" w:hAnsi="微软雅黑" w:eastAsia="微软雅黑" w:cs="微软雅黑"/>
          <w:spacing w:val="0"/>
          <w:sz w:val="24"/>
          <w:szCs w:val="24"/>
          <w:lang w:eastAsia="zh-CN"/>
        </w:rPr>
      </w:pPr>
      <w:r>
        <w:rPr>
          <w:rFonts w:hint="eastAsia" w:ascii="微软雅黑" w:hAnsi="微软雅黑" w:eastAsia="微软雅黑" w:cs="微软雅黑"/>
          <w:spacing w:val="0"/>
          <w:sz w:val="24"/>
          <w:szCs w:val="24"/>
          <w:lang w:eastAsia="zh-CN"/>
        </w:rPr>
        <w:t>（3）申诉启动时，参赛队向赛项仲裁工作组递交领队亲笔签字同意的书面报告。书面报告应对申诉事件的现象、发生时间、涉及人员、申诉依据等进行充分、实事求是的叙述。非书面申诉不予受理。</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微软雅黑" w:hAnsi="微软雅黑" w:eastAsia="微软雅黑" w:cs="微软雅黑"/>
          <w:spacing w:val="0"/>
          <w:sz w:val="24"/>
          <w:szCs w:val="24"/>
          <w:lang w:eastAsia="zh-CN"/>
        </w:rPr>
      </w:pPr>
      <w:r>
        <w:rPr>
          <w:rFonts w:hint="eastAsia" w:ascii="微软雅黑" w:hAnsi="微软雅黑" w:eastAsia="微软雅黑" w:cs="微软雅黑"/>
          <w:spacing w:val="0"/>
          <w:sz w:val="24"/>
          <w:szCs w:val="24"/>
          <w:lang w:eastAsia="zh-CN"/>
        </w:rPr>
        <w:t>（4）提出申诉的时间应在比赛结束后（比赛流程全部完成）2小时内。超过时效不予受理。</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微软雅黑" w:hAnsi="微软雅黑" w:eastAsia="微软雅黑" w:cs="微软雅黑"/>
          <w:spacing w:val="0"/>
          <w:sz w:val="24"/>
          <w:szCs w:val="24"/>
          <w:lang w:eastAsia="zh-CN"/>
        </w:rPr>
      </w:pPr>
      <w:r>
        <w:rPr>
          <w:rFonts w:hint="eastAsia" w:ascii="微软雅黑" w:hAnsi="微软雅黑" w:eastAsia="微软雅黑" w:cs="微软雅黑"/>
          <w:spacing w:val="0"/>
          <w:sz w:val="24"/>
          <w:szCs w:val="24"/>
          <w:lang w:eastAsia="zh-CN"/>
        </w:rPr>
        <w:t>（5）赛项仲裁工作组在接到申诉报告后的2小时内组织复议，并及时将复议结果以书面形式告知申诉方。申诉方对复议结果仍有异议，可由领队向组委会提出申诉。组委会的判定结果为最终结果。</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微软雅黑" w:hAnsi="微软雅黑" w:eastAsia="微软雅黑" w:cs="微软雅黑"/>
          <w:spacing w:val="0"/>
          <w:sz w:val="24"/>
          <w:szCs w:val="24"/>
          <w:lang w:eastAsia="zh-CN"/>
        </w:rPr>
      </w:pPr>
      <w:r>
        <w:rPr>
          <w:rFonts w:hint="eastAsia" w:ascii="微软雅黑" w:hAnsi="微软雅黑" w:eastAsia="微软雅黑" w:cs="微软雅黑"/>
          <w:spacing w:val="0"/>
          <w:sz w:val="24"/>
          <w:szCs w:val="24"/>
          <w:lang w:eastAsia="zh-CN"/>
        </w:rPr>
        <w:t>（6）申诉方不得以任何理由拒绝接收仲裁结果。仲裁结果由申诉人签收，不能代收，如在约定时间和地点申诉人离开，视为自行放弃申诉。</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r>
        <w:rPr>
          <w:rFonts w:hint="eastAsia" w:ascii="微软雅黑" w:hAnsi="微软雅黑" w:eastAsia="微软雅黑" w:cs="微软雅黑"/>
          <w:spacing w:val="0"/>
          <w:sz w:val="24"/>
          <w:szCs w:val="24"/>
          <w:lang w:eastAsia="zh-CN"/>
        </w:rPr>
        <w:t>（7）申诉方可随时提出放弃申诉。</w:t>
      </w: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pPr>
    </w:p>
    <w:p>
      <w:pPr>
        <w:pageBreakBefore w:val="0"/>
        <w:tabs>
          <w:tab w:val="left" w:pos="0"/>
        </w:tabs>
        <w:kinsoku/>
        <w:wordWrap/>
        <w:overflowPunct/>
        <w:topLinePunct w:val="0"/>
        <w:bidi w:val="0"/>
        <w:adjustRightInd/>
        <w:snapToGrid/>
        <w:spacing w:line="360" w:lineRule="auto"/>
        <w:ind w:left="0" w:firstLine="480" w:firstLineChars="200"/>
        <w:textAlignment w:val="auto"/>
        <w:rPr>
          <w:rFonts w:hint="eastAsia" w:ascii="微软雅黑" w:hAnsi="微软雅黑" w:eastAsia="微软雅黑" w:cs="微软雅黑"/>
          <w:spacing w:val="0"/>
          <w:kern w:val="0"/>
          <w:sz w:val="24"/>
          <w:szCs w:val="24"/>
          <w:lang w:eastAsia="zh-CN"/>
        </w:rPr>
        <w:sectPr>
          <w:headerReference r:id="rId5" w:type="default"/>
          <w:pgSz w:w="11906" w:h="16838"/>
          <w:pgMar w:top="1440" w:right="1080" w:bottom="1440" w:left="1080" w:header="1020" w:footer="1020" w:gutter="0"/>
          <w:pgNumType w:start="1"/>
          <w:cols w:space="0" w:num="1"/>
          <w:rtlGutter w:val="0"/>
          <w:docGrid w:type="lines" w:linePitch="312" w:charSpace="0"/>
        </w:sectPr>
      </w:pPr>
    </w:p>
    <w:p>
      <w:pPr>
        <w:pStyle w:val="3"/>
        <w:keepNext/>
        <w:keepLines/>
        <w:pageBreakBefore w:val="0"/>
        <w:widowControl/>
        <w:numPr>
          <w:ilvl w:val="0"/>
          <w:numId w:val="1"/>
        </w:numPr>
        <w:kinsoku/>
        <w:wordWrap/>
        <w:overflowPunct/>
        <w:topLinePunct w:val="0"/>
        <w:autoSpaceDE/>
        <w:autoSpaceDN/>
        <w:bidi w:val="0"/>
        <w:adjustRightInd/>
        <w:snapToGrid/>
        <w:spacing w:before="0" w:after="0" w:line="360" w:lineRule="auto"/>
        <w:ind w:left="0" w:firstLine="0"/>
        <w:textAlignment w:val="auto"/>
        <w:rPr>
          <w:rFonts w:hint="eastAsia" w:ascii="微软雅黑" w:hAnsi="微软雅黑" w:eastAsia="微软雅黑" w:cs="微软雅黑"/>
          <w:sz w:val="28"/>
          <w:szCs w:val="28"/>
          <w:lang w:eastAsia="zh-CN"/>
        </w:rPr>
      </w:pPr>
      <w:bookmarkStart w:id="52" w:name="_Toc14644"/>
      <w:r>
        <w:rPr>
          <w:rFonts w:hint="eastAsia" w:ascii="微软雅黑" w:hAnsi="微软雅黑" w:eastAsia="微软雅黑" w:cs="微软雅黑"/>
          <w:sz w:val="28"/>
          <w:szCs w:val="28"/>
          <w:lang w:eastAsia="zh-CN"/>
        </w:rPr>
        <w:t>附图</w:t>
      </w:r>
      <w:bookmarkEnd w:id="52"/>
    </w:p>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sz w:val="21"/>
          <w:szCs w:val="20"/>
        </w:rPr>
      </w:pPr>
      <w:r>
        <w:rPr>
          <w:rFonts w:hint="eastAsia" w:ascii="微软雅黑" w:hAnsi="微软雅黑" w:eastAsia="微软雅黑" w:cs="微软雅黑"/>
          <w:sz w:val="21"/>
          <w:szCs w:val="20"/>
        </w:rPr>
        <w:drawing>
          <wp:inline distT="0" distB="0" distL="114300" distR="114300">
            <wp:extent cx="8202295" cy="5328285"/>
            <wp:effectExtent l="0" t="0" r="8255"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8202295" cy="532828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图1 场地尺寸图</w:t>
      </w:r>
    </w:p>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8264525" cy="5723890"/>
            <wp:effectExtent l="0" t="0" r="317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264525" cy="5723890"/>
                    </a:xfrm>
                    <a:prstGeom prst="rect">
                      <a:avLst/>
                    </a:prstGeom>
                    <a:noFill/>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图2 围栏</w:t>
      </w:r>
    </w:p>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8213090" cy="5723890"/>
            <wp:effectExtent l="0" t="0" r="1651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213090" cy="5723890"/>
                    </a:xfrm>
                    <a:prstGeom prst="rect">
                      <a:avLst/>
                    </a:prstGeom>
                    <a:noFill/>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图3 小火炬</w:t>
      </w:r>
    </w:p>
    <w:p>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8196580" cy="5723890"/>
            <wp:effectExtent l="0" t="0" r="1397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196580" cy="5723890"/>
                    </a:xfrm>
                    <a:prstGeom prst="rect">
                      <a:avLst/>
                    </a:prstGeom>
                    <a:noFill/>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微软雅黑" w:hAnsi="微软雅黑" w:eastAsia="微软雅黑" w:cs="微软雅黑"/>
          <w:spacing w:val="0"/>
          <w:kern w:val="0"/>
          <w:lang w:eastAsia="zh-CN"/>
        </w:rPr>
      </w:pPr>
      <w:r>
        <w:rPr>
          <w:rFonts w:hint="eastAsia" w:ascii="微软雅黑" w:hAnsi="微软雅黑" w:eastAsia="微软雅黑" w:cs="微软雅黑"/>
          <w:spacing w:val="0"/>
          <w:kern w:val="0"/>
          <w:lang w:eastAsia="zh-CN"/>
        </w:rPr>
        <w:t>图4 火种</w:t>
      </w:r>
    </w:p>
    <w:sectPr>
      <w:headerReference r:id="rId6" w:type="default"/>
      <w:pgSz w:w="16838" w:h="11906" w:orient="landscape"/>
      <w:pgMar w:top="1083" w:right="1440" w:bottom="1083" w:left="1440" w:header="794" w:footer="737"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小标宋">
    <w:altName w:val="微软雅黑"/>
    <w:panose1 w:val="00000000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pPr>
      <w:r>
        <w:separator/>
      </w:r>
    </w:p>
  </w:footnote>
  <w:footnote w:type="continuationSeparator" w:id="1">
    <w:p>
      <w:pPr>
        <w:spacing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F21BB7"/>
    <w:multiLevelType w:val="multilevel"/>
    <w:tmpl w:val="11F21BB7"/>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1C232BE7"/>
    <w:multiLevelType w:val="multilevel"/>
    <w:tmpl w:val="1C232BE7"/>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53510C69"/>
    <w:multiLevelType w:val="multilevel"/>
    <w:tmpl w:val="53510C6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HorizontalSpacing w:val="240"/>
  <w:drawingGridVerticalSpacing w:val="156"/>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zN2Y3ZDg4NDNjY2RjMmRhNDkxMWUwMWVhYWFiZjEifQ=="/>
  </w:docVars>
  <w:rsids>
    <w:rsidRoot w:val="006F4ED6"/>
    <w:rsid w:val="00000DFD"/>
    <w:rsid w:val="00023A9B"/>
    <w:rsid w:val="00044510"/>
    <w:rsid w:val="00056EDB"/>
    <w:rsid w:val="00065221"/>
    <w:rsid w:val="000712F4"/>
    <w:rsid w:val="00086289"/>
    <w:rsid w:val="000B2F3D"/>
    <w:rsid w:val="000D671E"/>
    <w:rsid w:val="000D7B3C"/>
    <w:rsid w:val="000E3D6D"/>
    <w:rsid w:val="0010365E"/>
    <w:rsid w:val="001172F4"/>
    <w:rsid w:val="001403BD"/>
    <w:rsid w:val="00141D8E"/>
    <w:rsid w:val="00152C78"/>
    <w:rsid w:val="00160D4E"/>
    <w:rsid w:val="0017039F"/>
    <w:rsid w:val="00180BB8"/>
    <w:rsid w:val="001B66C2"/>
    <w:rsid w:val="001C204C"/>
    <w:rsid w:val="001C4F75"/>
    <w:rsid w:val="001E07FC"/>
    <w:rsid w:val="001E5C7E"/>
    <w:rsid w:val="001E7D10"/>
    <w:rsid w:val="001F65E3"/>
    <w:rsid w:val="001F7690"/>
    <w:rsid w:val="00242613"/>
    <w:rsid w:val="00243117"/>
    <w:rsid w:val="00245488"/>
    <w:rsid w:val="002701BA"/>
    <w:rsid w:val="002723C4"/>
    <w:rsid w:val="00295290"/>
    <w:rsid w:val="002A0BDE"/>
    <w:rsid w:val="002B335A"/>
    <w:rsid w:val="002D19F5"/>
    <w:rsid w:val="002E27A7"/>
    <w:rsid w:val="00311206"/>
    <w:rsid w:val="003275FC"/>
    <w:rsid w:val="00362D98"/>
    <w:rsid w:val="00381841"/>
    <w:rsid w:val="00394C8F"/>
    <w:rsid w:val="003A3985"/>
    <w:rsid w:val="003A5A92"/>
    <w:rsid w:val="003C2443"/>
    <w:rsid w:val="003C761B"/>
    <w:rsid w:val="003E572C"/>
    <w:rsid w:val="00402AF6"/>
    <w:rsid w:val="00411FD6"/>
    <w:rsid w:val="00421EF8"/>
    <w:rsid w:val="0042296B"/>
    <w:rsid w:val="004447A5"/>
    <w:rsid w:val="004610EA"/>
    <w:rsid w:val="004630FB"/>
    <w:rsid w:val="0046522F"/>
    <w:rsid w:val="004870A2"/>
    <w:rsid w:val="004A3812"/>
    <w:rsid w:val="004A6C05"/>
    <w:rsid w:val="004B35CC"/>
    <w:rsid w:val="004B39EC"/>
    <w:rsid w:val="004B7EC8"/>
    <w:rsid w:val="004C4852"/>
    <w:rsid w:val="004D7CF8"/>
    <w:rsid w:val="004E7DA6"/>
    <w:rsid w:val="004F01D9"/>
    <w:rsid w:val="004F1CE4"/>
    <w:rsid w:val="005134F6"/>
    <w:rsid w:val="0052635B"/>
    <w:rsid w:val="005361B0"/>
    <w:rsid w:val="00545B44"/>
    <w:rsid w:val="00582AA6"/>
    <w:rsid w:val="005868F9"/>
    <w:rsid w:val="00592381"/>
    <w:rsid w:val="005A4176"/>
    <w:rsid w:val="005B1CDE"/>
    <w:rsid w:val="005E21B4"/>
    <w:rsid w:val="00616B4A"/>
    <w:rsid w:val="00630066"/>
    <w:rsid w:val="006476C8"/>
    <w:rsid w:val="00671A48"/>
    <w:rsid w:val="00687E36"/>
    <w:rsid w:val="0069707E"/>
    <w:rsid w:val="006A169C"/>
    <w:rsid w:val="006A42BF"/>
    <w:rsid w:val="006B6BFD"/>
    <w:rsid w:val="006D0A3C"/>
    <w:rsid w:val="006D586E"/>
    <w:rsid w:val="006E0499"/>
    <w:rsid w:val="006E6E4F"/>
    <w:rsid w:val="006F4ED6"/>
    <w:rsid w:val="007012B0"/>
    <w:rsid w:val="00734B0E"/>
    <w:rsid w:val="00746B60"/>
    <w:rsid w:val="00761F6A"/>
    <w:rsid w:val="00764F09"/>
    <w:rsid w:val="00766280"/>
    <w:rsid w:val="007932A0"/>
    <w:rsid w:val="007A436B"/>
    <w:rsid w:val="007A7F0F"/>
    <w:rsid w:val="007B1B6D"/>
    <w:rsid w:val="007B51BB"/>
    <w:rsid w:val="007D1F0E"/>
    <w:rsid w:val="007D4F09"/>
    <w:rsid w:val="007F5EB8"/>
    <w:rsid w:val="007F7677"/>
    <w:rsid w:val="0080120A"/>
    <w:rsid w:val="00815897"/>
    <w:rsid w:val="008161FD"/>
    <w:rsid w:val="008305EA"/>
    <w:rsid w:val="0083625F"/>
    <w:rsid w:val="00840F59"/>
    <w:rsid w:val="0086221F"/>
    <w:rsid w:val="00865C04"/>
    <w:rsid w:val="008843D4"/>
    <w:rsid w:val="00886962"/>
    <w:rsid w:val="008950A6"/>
    <w:rsid w:val="008A3664"/>
    <w:rsid w:val="008B66C9"/>
    <w:rsid w:val="008C20D7"/>
    <w:rsid w:val="008E5C27"/>
    <w:rsid w:val="00910BE7"/>
    <w:rsid w:val="00914170"/>
    <w:rsid w:val="00936A0E"/>
    <w:rsid w:val="00950E31"/>
    <w:rsid w:val="009758F5"/>
    <w:rsid w:val="00980A6D"/>
    <w:rsid w:val="00986F95"/>
    <w:rsid w:val="00995CD7"/>
    <w:rsid w:val="00996C79"/>
    <w:rsid w:val="009D7ECD"/>
    <w:rsid w:val="009E6D98"/>
    <w:rsid w:val="009F163E"/>
    <w:rsid w:val="00A07624"/>
    <w:rsid w:val="00A07A92"/>
    <w:rsid w:val="00A14AC9"/>
    <w:rsid w:val="00A16AF2"/>
    <w:rsid w:val="00A35C0F"/>
    <w:rsid w:val="00A40ED4"/>
    <w:rsid w:val="00A51DA3"/>
    <w:rsid w:val="00A52E74"/>
    <w:rsid w:val="00A67B3F"/>
    <w:rsid w:val="00A703C4"/>
    <w:rsid w:val="00A914DA"/>
    <w:rsid w:val="00A9656A"/>
    <w:rsid w:val="00AB113D"/>
    <w:rsid w:val="00AC1EDB"/>
    <w:rsid w:val="00AC4DD6"/>
    <w:rsid w:val="00AD095D"/>
    <w:rsid w:val="00B00D4D"/>
    <w:rsid w:val="00B17704"/>
    <w:rsid w:val="00B63F0B"/>
    <w:rsid w:val="00B653F9"/>
    <w:rsid w:val="00B72691"/>
    <w:rsid w:val="00B9124B"/>
    <w:rsid w:val="00B97067"/>
    <w:rsid w:val="00B97368"/>
    <w:rsid w:val="00BA0ADE"/>
    <w:rsid w:val="00BA14BC"/>
    <w:rsid w:val="00BC40C6"/>
    <w:rsid w:val="00BD51E8"/>
    <w:rsid w:val="00BD5BF8"/>
    <w:rsid w:val="00BE1388"/>
    <w:rsid w:val="00BE1BF1"/>
    <w:rsid w:val="00BF2509"/>
    <w:rsid w:val="00BF47D6"/>
    <w:rsid w:val="00BF794A"/>
    <w:rsid w:val="00C00126"/>
    <w:rsid w:val="00C10009"/>
    <w:rsid w:val="00C230A9"/>
    <w:rsid w:val="00C31589"/>
    <w:rsid w:val="00C607CA"/>
    <w:rsid w:val="00C75B94"/>
    <w:rsid w:val="00C80057"/>
    <w:rsid w:val="00C903B6"/>
    <w:rsid w:val="00CA0082"/>
    <w:rsid w:val="00CB26F7"/>
    <w:rsid w:val="00CB305E"/>
    <w:rsid w:val="00CC1A7D"/>
    <w:rsid w:val="00CC3A4F"/>
    <w:rsid w:val="00CC44E0"/>
    <w:rsid w:val="00CF2BA0"/>
    <w:rsid w:val="00CF6AE9"/>
    <w:rsid w:val="00CF7396"/>
    <w:rsid w:val="00D04CD4"/>
    <w:rsid w:val="00D16A79"/>
    <w:rsid w:val="00D17E67"/>
    <w:rsid w:val="00D25BFB"/>
    <w:rsid w:val="00D2631F"/>
    <w:rsid w:val="00D408DD"/>
    <w:rsid w:val="00D43A79"/>
    <w:rsid w:val="00D47864"/>
    <w:rsid w:val="00D5371F"/>
    <w:rsid w:val="00D63E18"/>
    <w:rsid w:val="00D7744E"/>
    <w:rsid w:val="00D8534B"/>
    <w:rsid w:val="00D90AE3"/>
    <w:rsid w:val="00DC0DFB"/>
    <w:rsid w:val="00DC1F96"/>
    <w:rsid w:val="00DD66A9"/>
    <w:rsid w:val="00DE032E"/>
    <w:rsid w:val="00DE25A8"/>
    <w:rsid w:val="00DF6455"/>
    <w:rsid w:val="00DF6A29"/>
    <w:rsid w:val="00E01D79"/>
    <w:rsid w:val="00E02D3B"/>
    <w:rsid w:val="00E02E30"/>
    <w:rsid w:val="00E13267"/>
    <w:rsid w:val="00E17A06"/>
    <w:rsid w:val="00E247AE"/>
    <w:rsid w:val="00E25CAA"/>
    <w:rsid w:val="00E41996"/>
    <w:rsid w:val="00E420CD"/>
    <w:rsid w:val="00E57E67"/>
    <w:rsid w:val="00E7308A"/>
    <w:rsid w:val="00E769B4"/>
    <w:rsid w:val="00E80753"/>
    <w:rsid w:val="00E81F70"/>
    <w:rsid w:val="00E94096"/>
    <w:rsid w:val="00E951BE"/>
    <w:rsid w:val="00EC2D5D"/>
    <w:rsid w:val="00ED18C8"/>
    <w:rsid w:val="00ED19F3"/>
    <w:rsid w:val="00EE2541"/>
    <w:rsid w:val="00EE4868"/>
    <w:rsid w:val="00EF1A92"/>
    <w:rsid w:val="00EF4E49"/>
    <w:rsid w:val="00F2164C"/>
    <w:rsid w:val="00F3230F"/>
    <w:rsid w:val="00F33A5A"/>
    <w:rsid w:val="00F35DBD"/>
    <w:rsid w:val="00F469D8"/>
    <w:rsid w:val="00F478DE"/>
    <w:rsid w:val="00F53A71"/>
    <w:rsid w:val="00F6761D"/>
    <w:rsid w:val="00F8105A"/>
    <w:rsid w:val="00F87E0D"/>
    <w:rsid w:val="00F93C04"/>
    <w:rsid w:val="00FA0A60"/>
    <w:rsid w:val="00FB2E72"/>
    <w:rsid w:val="00FC04C3"/>
    <w:rsid w:val="00FC2009"/>
    <w:rsid w:val="00FD044B"/>
    <w:rsid w:val="00FF156F"/>
    <w:rsid w:val="00FF76FB"/>
    <w:rsid w:val="01975576"/>
    <w:rsid w:val="06801ACC"/>
    <w:rsid w:val="0DF809C8"/>
    <w:rsid w:val="13E264AC"/>
    <w:rsid w:val="16920CEF"/>
    <w:rsid w:val="1937008E"/>
    <w:rsid w:val="1D755CE1"/>
    <w:rsid w:val="1E6C7F40"/>
    <w:rsid w:val="1FA15E62"/>
    <w:rsid w:val="214D44F3"/>
    <w:rsid w:val="23412BF9"/>
    <w:rsid w:val="26CB1A16"/>
    <w:rsid w:val="36C130B7"/>
    <w:rsid w:val="440B6CE2"/>
    <w:rsid w:val="62F90829"/>
    <w:rsid w:val="661701F9"/>
    <w:rsid w:val="695040DA"/>
    <w:rsid w:val="70471F7C"/>
    <w:rsid w:val="762B5982"/>
    <w:rsid w:val="775F37AE"/>
    <w:rsid w:val="780D3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12" w:lineRule="auto"/>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19"/>
    <w:qFormat/>
    <w:uiPriority w:val="0"/>
    <w:pPr>
      <w:keepNext/>
      <w:keepLines/>
      <w:widowControl w:val="0"/>
      <w:spacing w:before="340" w:after="330" w:line="578" w:lineRule="auto"/>
      <w:jc w:val="center"/>
      <w:outlineLvl w:val="0"/>
    </w:pPr>
    <w:rPr>
      <w:rFonts w:ascii="Calibri" w:hAnsi="Calibri" w:eastAsia="小标宋" w:cs="Times New Roman"/>
      <w:bCs/>
      <w:kern w:val="44"/>
      <w:sz w:val="44"/>
      <w:szCs w:val="44"/>
      <w:lang w:val="zh-CN"/>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semiHidden/>
    <w:unhideWhenUsed/>
    <w:qFormat/>
    <w:uiPriority w:val="99"/>
    <w:pPr>
      <w:jc w:val="left"/>
    </w:pPr>
  </w:style>
  <w:style w:type="paragraph" w:styleId="6">
    <w:name w:val="Body Text"/>
    <w:basedOn w:val="1"/>
    <w:qFormat/>
    <w:uiPriority w:val="1"/>
    <w:rPr>
      <w:sz w:val="21"/>
      <w:szCs w:val="21"/>
    </w:rPr>
  </w:style>
  <w:style w:type="paragraph" w:styleId="7">
    <w:name w:val="toc 3"/>
    <w:basedOn w:val="1"/>
    <w:next w:val="1"/>
    <w:unhideWhenUsed/>
    <w:qFormat/>
    <w:uiPriority w:val="39"/>
    <w:pPr>
      <w:ind w:left="840" w:leftChars="400"/>
    </w:pPr>
  </w:style>
  <w:style w:type="paragraph" w:styleId="8">
    <w:name w:val="Date"/>
    <w:basedOn w:val="1"/>
    <w:next w:val="1"/>
    <w:link w:val="29"/>
    <w:semiHidden/>
    <w:unhideWhenUsed/>
    <w:qFormat/>
    <w:uiPriority w:val="99"/>
    <w:pPr>
      <w:ind w:left="100" w:leftChars="2500"/>
    </w:pPr>
  </w:style>
  <w:style w:type="paragraph" w:styleId="9">
    <w:name w:val="Balloon Text"/>
    <w:basedOn w:val="1"/>
    <w:link w:val="23"/>
    <w:semiHidden/>
    <w:unhideWhenUsed/>
    <w:qFormat/>
    <w:uiPriority w:val="99"/>
    <w:pPr>
      <w:spacing w:line="240" w:lineRule="auto"/>
    </w:pPr>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30"/>
    <w:qFormat/>
    <w:uiPriority w:val="0"/>
    <w:pPr>
      <w:spacing w:before="240" w:after="60"/>
      <w:jc w:val="left"/>
      <w:outlineLvl w:val="1"/>
    </w:pPr>
    <w:rPr>
      <w:rFonts w:ascii="Cambria" w:hAnsi="Cambria" w:eastAsia="黑体"/>
      <w:b/>
      <w:bCs/>
      <w:kern w:val="28"/>
      <w:sz w:val="28"/>
      <w:szCs w:val="32"/>
    </w:rPr>
  </w:style>
  <w:style w:type="paragraph" w:styleId="13">
    <w:name w:val="toc 2"/>
    <w:basedOn w:val="1"/>
    <w:next w:val="1"/>
    <w:unhideWhenUsed/>
    <w:qFormat/>
    <w:uiPriority w:val="39"/>
    <w:pPr>
      <w:tabs>
        <w:tab w:val="left" w:pos="840"/>
        <w:tab w:val="right" w:leader="dot" w:pos="8296"/>
      </w:tabs>
      <w:spacing w:line="240" w:lineRule="auto"/>
      <w:ind w:left="480" w:leftChars="200"/>
    </w:pPr>
  </w:style>
  <w:style w:type="paragraph" w:styleId="14">
    <w:name w:val="annotation subject"/>
    <w:basedOn w:val="5"/>
    <w:next w:val="5"/>
    <w:link w:val="28"/>
    <w:semiHidden/>
    <w:unhideWhenUsed/>
    <w:qFormat/>
    <w:uiPriority w:val="99"/>
    <w:rPr>
      <w:b/>
      <w:bCs/>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character" w:customStyle="1" w:styleId="19">
    <w:name w:val="标题 1 字符"/>
    <w:basedOn w:val="16"/>
    <w:link w:val="2"/>
    <w:qFormat/>
    <w:uiPriority w:val="0"/>
    <w:rPr>
      <w:rFonts w:ascii="Calibri" w:hAnsi="Calibri" w:eastAsia="小标宋" w:cs="Times New Roman"/>
      <w:bCs/>
      <w:kern w:val="44"/>
      <w:sz w:val="44"/>
      <w:szCs w:val="44"/>
      <w:lang w:val="zh-CN" w:eastAsia="zh-CN"/>
    </w:rPr>
  </w:style>
  <w:style w:type="character" w:customStyle="1" w:styleId="20">
    <w:name w:val="页眉 字符"/>
    <w:basedOn w:val="16"/>
    <w:link w:val="11"/>
    <w:qFormat/>
    <w:uiPriority w:val="99"/>
    <w:rPr>
      <w:sz w:val="18"/>
      <w:szCs w:val="18"/>
    </w:rPr>
  </w:style>
  <w:style w:type="character" w:customStyle="1" w:styleId="21">
    <w:name w:val="页脚 字符"/>
    <w:basedOn w:val="16"/>
    <w:link w:val="10"/>
    <w:qFormat/>
    <w:uiPriority w:val="99"/>
    <w:rPr>
      <w:sz w:val="18"/>
      <w:szCs w:val="18"/>
    </w:rPr>
  </w:style>
  <w:style w:type="character" w:customStyle="1" w:styleId="22">
    <w:name w:val="批注文字 字符"/>
    <w:basedOn w:val="16"/>
    <w:link w:val="5"/>
    <w:semiHidden/>
    <w:qFormat/>
    <w:uiPriority w:val="99"/>
    <w:rPr>
      <w:rFonts w:ascii="Times New Roman" w:hAnsi="Times New Roman" w:eastAsia="宋体"/>
      <w:sz w:val="24"/>
    </w:rPr>
  </w:style>
  <w:style w:type="character" w:customStyle="1" w:styleId="23">
    <w:name w:val="批注框文本 字符"/>
    <w:basedOn w:val="16"/>
    <w:link w:val="9"/>
    <w:semiHidden/>
    <w:qFormat/>
    <w:uiPriority w:val="99"/>
    <w:rPr>
      <w:rFonts w:ascii="Times New Roman" w:hAnsi="Times New Roman" w:eastAsia="宋体"/>
      <w:sz w:val="18"/>
      <w:szCs w:val="18"/>
    </w:rPr>
  </w:style>
  <w:style w:type="character" w:customStyle="1" w:styleId="24">
    <w:name w:val="标题 2 字符"/>
    <w:basedOn w:val="16"/>
    <w:link w:val="3"/>
    <w:qFormat/>
    <w:uiPriority w:val="9"/>
    <w:rPr>
      <w:rFonts w:asciiTheme="majorHAnsi" w:hAnsiTheme="majorHAnsi" w:eastAsiaTheme="majorEastAsia" w:cstheme="majorBidi"/>
      <w:b/>
      <w:bCs/>
      <w:sz w:val="32"/>
      <w:szCs w:val="32"/>
    </w:rPr>
  </w:style>
  <w:style w:type="character" w:customStyle="1" w:styleId="25">
    <w:name w:val="标题 3 字符"/>
    <w:basedOn w:val="16"/>
    <w:link w:val="4"/>
    <w:qFormat/>
    <w:uiPriority w:val="9"/>
    <w:rPr>
      <w:rFonts w:ascii="Times New Roman" w:hAnsi="Times New Roman" w:eastAsia="宋体"/>
      <w:b/>
      <w:bCs/>
      <w:sz w:val="32"/>
      <w:szCs w:val="32"/>
    </w:rPr>
  </w:style>
  <w:style w:type="paragraph" w:styleId="26">
    <w:name w:val="List Paragraph"/>
    <w:basedOn w:val="1"/>
    <w:qFormat/>
    <w:uiPriority w:val="34"/>
    <w:pPr>
      <w:ind w:firstLine="420" w:firstLineChars="200"/>
    </w:p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lang w:val="en-US"/>
    </w:rPr>
  </w:style>
  <w:style w:type="character" w:customStyle="1" w:styleId="28">
    <w:name w:val="批注主题 字符"/>
    <w:basedOn w:val="22"/>
    <w:link w:val="14"/>
    <w:semiHidden/>
    <w:qFormat/>
    <w:uiPriority w:val="99"/>
    <w:rPr>
      <w:rFonts w:ascii="Times New Roman" w:hAnsi="Times New Roman" w:eastAsia="宋体"/>
      <w:b/>
      <w:bCs/>
      <w:sz w:val="24"/>
    </w:rPr>
  </w:style>
  <w:style w:type="character" w:customStyle="1" w:styleId="29">
    <w:name w:val="日期 字符"/>
    <w:basedOn w:val="16"/>
    <w:link w:val="8"/>
    <w:semiHidden/>
    <w:qFormat/>
    <w:uiPriority w:val="99"/>
    <w:rPr>
      <w:rFonts w:ascii="Times New Roman" w:hAnsi="Times New Roman" w:eastAsia="宋体"/>
      <w:sz w:val="24"/>
    </w:rPr>
  </w:style>
  <w:style w:type="character" w:customStyle="1" w:styleId="30">
    <w:name w:val="副标题 字符"/>
    <w:link w:val="12"/>
    <w:qFormat/>
    <w:uiPriority w:val="0"/>
    <w:rPr>
      <w:rFonts w:ascii="Cambria" w:hAnsi="Cambria" w:eastAsia="黑体"/>
      <w:b/>
      <w:bCs/>
      <w:kern w:val="28"/>
      <w:sz w:val="28"/>
      <w:szCs w:val="32"/>
    </w:rPr>
  </w:style>
  <w:style w:type="paragraph" w:customStyle="1" w:styleId="31">
    <w:name w:val="_Style 28"/>
    <w:basedOn w:val="1"/>
    <w:next w:val="26"/>
    <w:qFormat/>
    <w:uiPriority w:val="34"/>
    <w:pPr>
      <w:spacing w:line="240" w:lineRule="auto"/>
      <w:ind w:firstLine="420" w:firstLineChars="200"/>
      <w:jc w:val="left"/>
    </w:pPr>
    <w:rPr>
      <w:rFonts w:ascii="等线" w:hAnsi="等线" w:eastAsia="等线" w:cs="Times New Roman"/>
      <w:sz w:val="21"/>
    </w:rPr>
  </w:style>
  <w:style w:type="character" w:customStyle="1" w:styleId="32">
    <w:name w:val="副标题 字符1"/>
    <w:basedOn w:val="16"/>
    <w:qFormat/>
    <w:uiPriority w:val="11"/>
    <w:rPr>
      <w:b/>
      <w:bCs/>
      <w:kern w:val="28"/>
      <w:sz w:val="32"/>
      <w:szCs w:val="32"/>
    </w:rPr>
  </w:style>
  <w:style w:type="paragraph" w:customStyle="1" w:styleId="33">
    <w:name w:val="修订1"/>
    <w:hidden/>
    <w:semiHidden/>
    <w:qFormat/>
    <w:uiPriority w:val="99"/>
    <w:rPr>
      <w:rFonts w:ascii="Times New Roman" w:hAnsi="Times New Roman"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microsoft.com/office/2007/relationships/hdphoto" Target="media/image8.wdp"/><Relationship Id="rId14" Type="http://schemas.openxmlformats.org/officeDocument/2006/relationships/image" Target="media/image7.png"/><Relationship Id="rId13" Type="http://schemas.microsoft.com/office/2007/relationships/hdphoto" Target="media/image6.wdp"/><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2B772-9B1F-4DA3-B599-AE28459B06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842</Words>
  <Characters>4805</Characters>
  <Lines>40</Lines>
  <Paragraphs>11</Paragraphs>
  <TotalTime>0</TotalTime>
  <ScaleCrop>false</ScaleCrop>
  <LinksUpToDate>false</LinksUpToDate>
  <CharactersWithSpaces>5636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2022-01-10T11:33:00Z</dcterms:created>
  <dc:creator>1019876530@qq.com</dc:creator>
  <cp:lastModifiedBy>HZ-01</cp:lastModifiedBy>
  <cp:lastPrinted>2022-04-01T02:46:00Z</cp:lastPrinted>
  <dcterms:modified xsi:type="dcterms:W3CDTF">2023-10-26T09:16:15Z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00199477D845489E8F417298D82B8EBF_13</vt:lpwstr>
  </property>
</Properties>
</file>